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9BC0B" w14:textId="77777777" w:rsidR="0063498A" w:rsidRDefault="0063498A" w:rsidP="00F429F9">
      <w:pPr>
        <w:pStyle w:val="Title"/>
        <w:jc w:val="center"/>
      </w:pPr>
    </w:p>
    <w:p w14:paraId="576F9BA8" w14:textId="5C04C1E5" w:rsidR="0063498A" w:rsidRDefault="0063498A" w:rsidP="00F429F9">
      <w:pPr>
        <w:pStyle w:val="Title"/>
        <w:jc w:val="center"/>
      </w:pPr>
      <w:r>
        <w:t>Impact of Benchmarking and Transparency Ordinances on stakeholder interactions and building energy efficiency</w:t>
      </w:r>
    </w:p>
    <w:p w14:paraId="3D8F519F" w14:textId="77777777" w:rsidR="004B7262" w:rsidRPr="004B7262" w:rsidRDefault="004B7262" w:rsidP="004B7262"/>
    <w:p w14:paraId="30AFE465" w14:textId="77777777" w:rsidR="004B7262" w:rsidRDefault="004B7262" w:rsidP="004B7262">
      <w:pPr>
        <w:pStyle w:val="Title"/>
        <w:jc w:val="center"/>
      </w:pPr>
      <w:r>
        <w:t>PHD Proposal</w:t>
      </w:r>
    </w:p>
    <w:p w14:paraId="432CA6CD" w14:textId="77777777" w:rsidR="004B7262" w:rsidRPr="004B7262" w:rsidRDefault="004B7262" w:rsidP="004B7262"/>
    <w:p w14:paraId="02D275B1" w14:textId="77777777" w:rsidR="00F429F9" w:rsidRDefault="00F429F9" w:rsidP="00F429F9"/>
    <w:p w14:paraId="2DA77428" w14:textId="77777777" w:rsidR="00F429F9" w:rsidRDefault="00F429F9" w:rsidP="00F429F9"/>
    <w:p w14:paraId="429D349F" w14:textId="77777777" w:rsidR="00F429F9" w:rsidRDefault="00F429F9" w:rsidP="00F429F9"/>
    <w:p w14:paraId="1415DA2D" w14:textId="77777777" w:rsidR="00F429F9" w:rsidRDefault="00F429F9" w:rsidP="00F429F9"/>
    <w:p w14:paraId="2564A9E7" w14:textId="23F89FC4" w:rsidR="00F429F9" w:rsidRDefault="00F429F9" w:rsidP="00F429F9">
      <w:r>
        <w:t>Committee:</w:t>
      </w:r>
    </w:p>
    <w:p w14:paraId="21D6CBD3" w14:textId="3400CC10" w:rsidR="00F429F9" w:rsidRDefault="00F429F9" w:rsidP="00F429F9">
      <w:r>
        <w:t>Prof</w:t>
      </w:r>
      <w:r w:rsidR="004B7262">
        <w:t>.</w:t>
      </w:r>
      <w:r>
        <w:t xml:space="preserve"> Erica Cochran-</w:t>
      </w:r>
      <w:proofErr w:type="spellStart"/>
      <w:r>
        <w:t>Hameen</w:t>
      </w:r>
      <w:proofErr w:type="spellEnd"/>
      <w:r>
        <w:t>,</w:t>
      </w:r>
      <w:r w:rsidR="00700FB8">
        <w:t xml:space="preserve"> PhD, LEED AP, AIA, NOMA</w:t>
      </w:r>
      <w:r>
        <w:t xml:space="preserve"> </w:t>
      </w:r>
      <w:r w:rsidR="00700FB8">
        <w:t xml:space="preserve">– Committee </w:t>
      </w:r>
      <w:r>
        <w:t>Chair</w:t>
      </w:r>
    </w:p>
    <w:p w14:paraId="36DCF319" w14:textId="24EC5974" w:rsidR="00700FB8" w:rsidRDefault="00700FB8" w:rsidP="00F429F9">
      <w:r>
        <w:t>School of Architecture, Carnegie Mellon University</w:t>
      </w:r>
    </w:p>
    <w:p w14:paraId="0982C5D5" w14:textId="77777777" w:rsidR="00700FB8" w:rsidRDefault="00700FB8" w:rsidP="00F429F9"/>
    <w:p w14:paraId="7DB5DC54" w14:textId="3F2CF0D9" w:rsidR="00700FB8" w:rsidRDefault="00F429F9" w:rsidP="00F429F9">
      <w:r>
        <w:t xml:space="preserve">Prof. Vivian </w:t>
      </w:r>
      <w:proofErr w:type="spellStart"/>
      <w:r>
        <w:t>Loftness</w:t>
      </w:r>
      <w:proofErr w:type="spellEnd"/>
      <w:r>
        <w:t>,</w:t>
      </w:r>
      <w:r w:rsidR="00700FB8">
        <w:t xml:space="preserve"> FAIA, LEED AP</w:t>
      </w:r>
    </w:p>
    <w:p w14:paraId="267FB66A" w14:textId="09618896" w:rsidR="00700FB8" w:rsidRDefault="00700FB8" w:rsidP="00F429F9">
      <w:r w:rsidRPr="00700FB8">
        <w:t>University Professor</w:t>
      </w:r>
      <w:r>
        <w:t xml:space="preserve">, </w:t>
      </w:r>
      <w:r w:rsidRPr="00700FB8">
        <w:t>Paul Mellon Professor</w:t>
      </w:r>
      <w:r>
        <w:t xml:space="preserve">, </w:t>
      </w:r>
      <w:r w:rsidRPr="00700FB8">
        <w:t>Andrew Mellon Professor</w:t>
      </w:r>
    </w:p>
    <w:p w14:paraId="042BA329" w14:textId="3641C1D1" w:rsidR="00700FB8" w:rsidRDefault="00700FB8" w:rsidP="00F429F9">
      <w:r>
        <w:t>School of Architecture, Carnegie Mellon University</w:t>
      </w:r>
    </w:p>
    <w:p w14:paraId="6C5FC5FF" w14:textId="77777777" w:rsidR="00700FB8" w:rsidRDefault="00700FB8" w:rsidP="00F429F9"/>
    <w:p w14:paraId="4DE54576" w14:textId="094DF469" w:rsidR="00700FB8" w:rsidRPr="00700FB8" w:rsidRDefault="00F429F9" w:rsidP="00700FB8">
      <w:pPr>
        <w:shd w:val="clear" w:color="auto" w:fill="FFFFFF"/>
        <w:spacing w:before="100" w:beforeAutospacing="1" w:after="100" w:afterAutospacing="1" w:line="240" w:lineRule="auto"/>
      </w:pPr>
      <w:r>
        <w:t>Prof</w:t>
      </w:r>
      <w:r w:rsidR="004B7262">
        <w:t>.</w:t>
      </w:r>
      <w:r>
        <w:t xml:space="preserve"> </w:t>
      </w:r>
      <w:proofErr w:type="spellStart"/>
      <w:r>
        <w:t>Berangere</w:t>
      </w:r>
      <w:proofErr w:type="spellEnd"/>
      <w:r>
        <w:t xml:space="preserve"> </w:t>
      </w:r>
      <w:proofErr w:type="spellStart"/>
      <w:r>
        <w:t>Lartigue</w:t>
      </w:r>
      <w:proofErr w:type="spellEnd"/>
      <w:r w:rsidRPr="004B7262">
        <w:t>,</w:t>
      </w:r>
      <w:r w:rsidR="00700FB8" w:rsidRPr="004B7262">
        <w:t xml:space="preserve"> PhD</w:t>
      </w:r>
    </w:p>
    <w:p w14:paraId="4CD7FD68" w14:textId="76E22868" w:rsidR="00700FB8" w:rsidRDefault="00700FB8" w:rsidP="00700FB8">
      <w:pPr>
        <w:shd w:val="clear" w:color="auto" w:fill="FFFFFF"/>
        <w:spacing w:before="100" w:beforeAutospacing="1" w:after="100" w:afterAutospacing="1" w:line="240" w:lineRule="auto"/>
      </w:pPr>
      <w:r w:rsidRPr="00700FB8">
        <w:t xml:space="preserve">Associate Professor, </w:t>
      </w:r>
    </w:p>
    <w:p w14:paraId="0475B412" w14:textId="16B2BF50" w:rsidR="00700FB8" w:rsidRDefault="00F429F9">
      <w:pPr>
        <w:rPr>
          <w:rFonts w:asciiTheme="majorHAnsi" w:eastAsiaTheme="majorEastAsia" w:hAnsiTheme="majorHAnsi" w:cstheme="majorBidi"/>
          <w:sz w:val="80"/>
          <w:szCs w:val="80"/>
        </w:rPr>
      </w:pPr>
      <w:r>
        <w:t>Paul Sabatier University</w:t>
      </w:r>
      <w:r w:rsidR="004B7262">
        <w:t>, Toulouse, France</w:t>
      </w:r>
      <w:r w:rsidR="00700FB8">
        <w:rPr>
          <w:rFonts w:asciiTheme="majorHAnsi" w:eastAsiaTheme="majorEastAsia" w:hAnsiTheme="majorHAnsi" w:cstheme="majorBidi"/>
          <w:sz w:val="80"/>
          <w:szCs w:val="80"/>
        </w:rPr>
        <w:br w:type="page"/>
      </w:r>
    </w:p>
    <w:sdt>
      <w:sdtPr>
        <w:rPr>
          <w:rFonts w:asciiTheme="minorHAnsi" w:eastAsiaTheme="minorHAnsi" w:hAnsiTheme="minorHAnsi" w:cstheme="minorBidi"/>
          <w:color w:val="auto"/>
          <w:sz w:val="22"/>
          <w:szCs w:val="22"/>
        </w:rPr>
        <w:id w:val="-859128024"/>
        <w:docPartObj>
          <w:docPartGallery w:val="Table of Contents"/>
          <w:docPartUnique/>
        </w:docPartObj>
      </w:sdtPr>
      <w:sdtEndPr>
        <w:rPr>
          <w:b/>
          <w:bCs/>
          <w:noProof/>
        </w:rPr>
      </w:sdtEndPr>
      <w:sdtContent>
        <w:p w14:paraId="51636620" w14:textId="27B85A1B" w:rsidR="00700FB8" w:rsidRDefault="00700FB8" w:rsidP="00121B40">
          <w:pPr>
            <w:pStyle w:val="TOCHeading"/>
            <w:outlineLvl w:val="2"/>
          </w:pPr>
          <w:r>
            <w:t>Contents</w:t>
          </w:r>
        </w:p>
        <w:p w14:paraId="12B275EF" w14:textId="708C9AEE" w:rsidR="00121B40" w:rsidRDefault="00121B40">
          <w:pPr>
            <w:pStyle w:val="TOC1"/>
            <w:tabs>
              <w:tab w:val="right" w:leader="dot" w:pos="9350"/>
            </w:tabs>
            <w:rPr>
              <w:rFonts w:eastAsiaTheme="minorEastAsia"/>
              <w:noProof/>
            </w:rPr>
          </w:pPr>
          <w:r>
            <w:rPr>
              <w:b/>
              <w:bCs/>
              <w:noProof/>
            </w:rPr>
            <w:fldChar w:fldCharType="begin"/>
          </w:r>
          <w:r>
            <w:rPr>
              <w:b/>
              <w:bCs/>
              <w:noProof/>
            </w:rPr>
            <w:instrText xml:space="preserve"> TOC \o "1-2" \h \z \u </w:instrText>
          </w:r>
          <w:r>
            <w:rPr>
              <w:b/>
              <w:bCs/>
              <w:noProof/>
            </w:rPr>
            <w:fldChar w:fldCharType="separate"/>
          </w:r>
          <w:hyperlink w:anchor="_Toc532200738" w:history="1">
            <w:r w:rsidRPr="00F9190F">
              <w:rPr>
                <w:rStyle w:val="Hyperlink"/>
                <w:noProof/>
              </w:rPr>
              <w:t>Abstract</w:t>
            </w:r>
            <w:r>
              <w:rPr>
                <w:noProof/>
                <w:webHidden/>
              </w:rPr>
              <w:tab/>
            </w:r>
            <w:r>
              <w:rPr>
                <w:noProof/>
                <w:webHidden/>
              </w:rPr>
              <w:fldChar w:fldCharType="begin"/>
            </w:r>
            <w:r>
              <w:rPr>
                <w:noProof/>
                <w:webHidden/>
              </w:rPr>
              <w:instrText xml:space="preserve"> PAGEREF _Toc532200738 \h </w:instrText>
            </w:r>
            <w:r>
              <w:rPr>
                <w:noProof/>
                <w:webHidden/>
              </w:rPr>
            </w:r>
            <w:r>
              <w:rPr>
                <w:noProof/>
                <w:webHidden/>
              </w:rPr>
              <w:fldChar w:fldCharType="separate"/>
            </w:r>
            <w:r>
              <w:rPr>
                <w:noProof/>
                <w:webHidden/>
              </w:rPr>
              <w:t>5</w:t>
            </w:r>
            <w:r>
              <w:rPr>
                <w:noProof/>
                <w:webHidden/>
              </w:rPr>
              <w:fldChar w:fldCharType="end"/>
            </w:r>
          </w:hyperlink>
        </w:p>
        <w:p w14:paraId="636307EC" w14:textId="4234A459" w:rsidR="00121B40" w:rsidRDefault="00121B40">
          <w:pPr>
            <w:pStyle w:val="TOC1"/>
            <w:tabs>
              <w:tab w:val="right" w:leader="dot" w:pos="9350"/>
            </w:tabs>
            <w:rPr>
              <w:rFonts w:eastAsiaTheme="minorEastAsia"/>
              <w:noProof/>
            </w:rPr>
          </w:pPr>
          <w:hyperlink w:anchor="_Toc532200739" w:history="1">
            <w:r w:rsidRPr="00F9190F">
              <w:rPr>
                <w:rStyle w:val="Hyperlink"/>
                <w:noProof/>
              </w:rPr>
              <w:t>Introduction</w:t>
            </w:r>
            <w:r>
              <w:rPr>
                <w:noProof/>
                <w:webHidden/>
              </w:rPr>
              <w:tab/>
            </w:r>
            <w:r>
              <w:rPr>
                <w:noProof/>
                <w:webHidden/>
              </w:rPr>
              <w:fldChar w:fldCharType="begin"/>
            </w:r>
            <w:r>
              <w:rPr>
                <w:noProof/>
                <w:webHidden/>
              </w:rPr>
              <w:instrText xml:space="preserve"> PAGEREF _Toc532200739 \h </w:instrText>
            </w:r>
            <w:r>
              <w:rPr>
                <w:noProof/>
                <w:webHidden/>
              </w:rPr>
            </w:r>
            <w:r>
              <w:rPr>
                <w:noProof/>
                <w:webHidden/>
              </w:rPr>
              <w:fldChar w:fldCharType="separate"/>
            </w:r>
            <w:r>
              <w:rPr>
                <w:noProof/>
                <w:webHidden/>
              </w:rPr>
              <w:t>6</w:t>
            </w:r>
            <w:r>
              <w:rPr>
                <w:noProof/>
                <w:webHidden/>
              </w:rPr>
              <w:fldChar w:fldCharType="end"/>
            </w:r>
          </w:hyperlink>
        </w:p>
        <w:p w14:paraId="6933C81E" w14:textId="6D45C60F" w:rsidR="00121B40" w:rsidRDefault="00121B40">
          <w:pPr>
            <w:pStyle w:val="TOC1"/>
            <w:tabs>
              <w:tab w:val="right" w:leader="dot" w:pos="9350"/>
            </w:tabs>
            <w:rPr>
              <w:rFonts w:eastAsiaTheme="minorEastAsia"/>
              <w:noProof/>
            </w:rPr>
          </w:pPr>
          <w:hyperlink w:anchor="_Toc532200740" w:history="1">
            <w:r w:rsidRPr="00F9190F">
              <w:rPr>
                <w:rStyle w:val="Hyperlink"/>
                <w:noProof/>
              </w:rPr>
              <w:t>Context</w:t>
            </w:r>
            <w:r>
              <w:rPr>
                <w:noProof/>
                <w:webHidden/>
              </w:rPr>
              <w:tab/>
            </w:r>
            <w:r>
              <w:rPr>
                <w:noProof/>
                <w:webHidden/>
              </w:rPr>
              <w:fldChar w:fldCharType="begin"/>
            </w:r>
            <w:r>
              <w:rPr>
                <w:noProof/>
                <w:webHidden/>
              </w:rPr>
              <w:instrText xml:space="preserve"> PAGEREF _Toc532200740 \h </w:instrText>
            </w:r>
            <w:r>
              <w:rPr>
                <w:noProof/>
                <w:webHidden/>
              </w:rPr>
            </w:r>
            <w:r>
              <w:rPr>
                <w:noProof/>
                <w:webHidden/>
              </w:rPr>
              <w:fldChar w:fldCharType="separate"/>
            </w:r>
            <w:r>
              <w:rPr>
                <w:noProof/>
                <w:webHidden/>
              </w:rPr>
              <w:t>7</w:t>
            </w:r>
            <w:r>
              <w:rPr>
                <w:noProof/>
                <w:webHidden/>
              </w:rPr>
              <w:fldChar w:fldCharType="end"/>
            </w:r>
          </w:hyperlink>
        </w:p>
        <w:p w14:paraId="02910982" w14:textId="26FC6AA4" w:rsidR="00121B40" w:rsidRDefault="00121B40">
          <w:pPr>
            <w:pStyle w:val="TOC2"/>
            <w:tabs>
              <w:tab w:val="left" w:pos="660"/>
              <w:tab w:val="right" w:leader="dot" w:pos="9350"/>
            </w:tabs>
            <w:rPr>
              <w:rFonts w:eastAsiaTheme="minorEastAsia"/>
              <w:noProof/>
            </w:rPr>
          </w:pPr>
          <w:hyperlink w:anchor="_Toc532200741" w:history="1">
            <w:r w:rsidRPr="00F9190F">
              <w:rPr>
                <w:rStyle w:val="Hyperlink"/>
                <w:noProof/>
              </w:rPr>
              <w:t>1.</w:t>
            </w:r>
            <w:r>
              <w:rPr>
                <w:rFonts w:eastAsiaTheme="minorEastAsia"/>
                <w:noProof/>
              </w:rPr>
              <w:tab/>
            </w:r>
            <w:r w:rsidRPr="00F9190F">
              <w:rPr>
                <w:rStyle w:val="Hyperlink"/>
                <w:noProof/>
              </w:rPr>
              <w:t>Buildings and wasted energy</w:t>
            </w:r>
            <w:r>
              <w:rPr>
                <w:noProof/>
                <w:webHidden/>
              </w:rPr>
              <w:tab/>
            </w:r>
            <w:r>
              <w:rPr>
                <w:noProof/>
                <w:webHidden/>
              </w:rPr>
              <w:fldChar w:fldCharType="begin"/>
            </w:r>
            <w:r>
              <w:rPr>
                <w:noProof/>
                <w:webHidden/>
              </w:rPr>
              <w:instrText xml:space="preserve"> PAGEREF _Toc532200741 \h </w:instrText>
            </w:r>
            <w:r>
              <w:rPr>
                <w:noProof/>
                <w:webHidden/>
              </w:rPr>
            </w:r>
            <w:r>
              <w:rPr>
                <w:noProof/>
                <w:webHidden/>
              </w:rPr>
              <w:fldChar w:fldCharType="separate"/>
            </w:r>
            <w:r>
              <w:rPr>
                <w:noProof/>
                <w:webHidden/>
              </w:rPr>
              <w:t>7</w:t>
            </w:r>
            <w:r>
              <w:rPr>
                <w:noProof/>
                <w:webHidden/>
              </w:rPr>
              <w:fldChar w:fldCharType="end"/>
            </w:r>
          </w:hyperlink>
        </w:p>
        <w:p w14:paraId="11267534" w14:textId="7AA26362" w:rsidR="00121B40" w:rsidRDefault="00121B40">
          <w:pPr>
            <w:pStyle w:val="TOC2"/>
            <w:tabs>
              <w:tab w:val="left" w:pos="660"/>
              <w:tab w:val="right" w:leader="dot" w:pos="9350"/>
            </w:tabs>
            <w:rPr>
              <w:rFonts w:eastAsiaTheme="minorEastAsia"/>
              <w:noProof/>
            </w:rPr>
          </w:pPr>
          <w:hyperlink w:anchor="_Toc532200742" w:history="1">
            <w:r w:rsidRPr="00F9190F">
              <w:rPr>
                <w:rStyle w:val="Hyperlink"/>
                <w:noProof/>
              </w:rPr>
              <w:t>2.</w:t>
            </w:r>
            <w:r>
              <w:rPr>
                <w:rFonts w:eastAsiaTheme="minorEastAsia"/>
                <w:noProof/>
              </w:rPr>
              <w:tab/>
            </w:r>
            <w:r w:rsidRPr="00F9190F">
              <w:rPr>
                <w:rStyle w:val="Hyperlink"/>
                <w:noProof/>
              </w:rPr>
              <w:t>Consumers and awareness of energy use</w:t>
            </w:r>
            <w:r>
              <w:rPr>
                <w:noProof/>
                <w:webHidden/>
              </w:rPr>
              <w:tab/>
            </w:r>
            <w:r>
              <w:rPr>
                <w:noProof/>
                <w:webHidden/>
              </w:rPr>
              <w:fldChar w:fldCharType="begin"/>
            </w:r>
            <w:r>
              <w:rPr>
                <w:noProof/>
                <w:webHidden/>
              </w:rPr>
              <w:instrText xml:space="preserve"> PAGEREF _Toc532200742 \h </w:instrText>
            </w:r>
            <w:r>
              <w:rPr>
                <w:noProof/>
                <w:webHidden/>
              </w:rPr>
            </w:r>
            <w:r>
              <w:rPr>
                <w:noProof/>
                <w:webHidden/>
              </w:rPr>
              <w:fldChar w:fldCharType="separate"/>
            </w:r>
            <w:r>
              <w:rPr>
                <w:noProof/>
                <w:webHidden/>
              </w:rPr>
              <w:t>9</w:t>
            </w:r>
            <w:r>
              <w:rPr>
                <w:noProof/>
                <w:webHidden/>
              </w:rPr>
              <w:fldChar w:fldCharType="end"/>
            </w:r>
          </w:hyperlink>
        </w:p>
        <w:p w14:paraId="0B6B0F7B" w14:textId="3F03FC9A" w:rsidR="00121B40" w:rsidRDefault="00121B40">
          <w:pPr>
            <w:pStyle w:val="TOC2"/>
            <w:tabs>
              <w:tab w:val="left" w:pos="660"/>
              <w:tab w:val="right" w:leader="dot" w:pos="9350"/>
            </w:tabs>
            <w:rPr>
              <w:rFonts w:eastAsiaTheme="minorEastAsia"/>
              <w:noProof/>
            </w:rPr>
          </w:pPr>
          <w:hyperlink w:anchor="_Toc532200743" w:history="1">
            <w:r w:rsidRPr="00F9190F">
              <w:rPr>
                <w:rStyle w:val="Hyperlink"/>
                <w:noProof/>
              </w:rPr>
              <w:t>3.</w:t>
            </w:r>
            <w:r>
              <w:rPr>
                <w:rFonts w:eastAsiaTheme="minorEastAsia"/>
                <w:noProof/>
              </w:rPr>
              <w:tab/>
            </w:r>
            <w:r w:rsidRPr="00F9190F">
              <w:rPr>
                <w:rStyle w:val="Hyperlink"/>
                <w:noProof/>
              </w:rPr>
              <w:t>Opportunities for Energy efficiency investment</w:t>
            </w:r>
            <w:r>
              <w:rPr>
                <w:noProof/>
                <w:webHidden/>
              </w:rPr>
              <w:tab/>
            </w:r>
            <w:r>
              <w:rPr>
                <w:noProof/>
                <w:webHidden/>
              </w:rPr>
              <w:fldChar w:fldCharType="begin"/>
            </w:r>
            <w:r>
              <w:rPr>
                <w:noProof/>
                <w:webHidden/>
              </w:rPr>
              <w:instrText xml:space="preserve"> PAGEREF _Toc532200743 \h </w:instrText>
            </w:r>
            <w:r>
              <w:rPr>
                <w:noProof/>
                <w:webHidden/>
              </w:rPr>
            </w:r>
            <w:r>
              <w:rPr>
                <w:noProof/>
                <w:webHidden/>
              </w:rPr>
              <w:fldChar w:fldCharType="separate"/>
            </w:r>
            <w:r>
              <w:rPr>
                <w:noProof/>
                <w:webHidden/>
              </w:rPr>
              <w:t>9</w:t>
            </w:r>
            <w:r>
              <w:rPr>
                <w:noProof/>
                <w:webHidden/>
              </w:rPr>
              <w:fldChar w:fldCharType="end"/>
            </w:r>
          </w:hyperlink>
        </w:p>
        <w:p w14:paraId="253DA605" w14:textId="26FFE319" w:rsidR="00121B40" w:rsidRDefault="00121B40">
          <w:pPr>
            <w:pStyle w:val="TOC2"/>
            <w:tabs>
              <w:tab w:val="left" w:pos="660"/>
              <w:tab w:val="right" w:leader="dot" w:pos="9350"/>
            </w:tabs>
            <w:rPr>
              <w:rFonts w:eastAsiaTheme="minorEastAsia"/>
              <w:noProof/>
            </w:rPr>
          </w:pPr>
          <w:hyperlink w:anchor="_Toc532200744" w:history="1">
            <w:r w:rsidRPr="00F9190F">
              <w:rPr>
                <w:rStyle w:val="Hyperlink"/>
                <w:noProof/>
              </w:rPr>
              <w:t>4.</w:t>
            </w:r>
            <w:r>
              <w:rPr>
                <w:rFonts w:eastAsiaTheme="minorEastAsia"/>
                <w:noProof/>
              </w:rPr>
              <w:tab/>
            </w:r>
            <w:r w:rsidRPr="00F9190F">
              <w:rPr>
                <w:rStyle w:val="Hyperlink"/>
                <w:noProof/>
              </w:rPr>
              <w:t>Origins of building benchmarking  and transparency policies</w:t>
            </w:r>
            <w:r>
              <w:rPr>
                <w:noProof/>
                <w:webHidden/>
              </w:rPr>
              <w:tab/>
            </w:r>
            <w:r>
              <w:rPr>
                <w:noProof/>
                <w:webHidden/>
              </w:rPr>
              <w:fldChar w:fldCharType="begin"/>
            </w:r>
            <w:r>
              <w:rPr>
                <w:noProof/>
                <w:webHidden/>
              </w:rPr>
              <w:instrText xml:space="preserve"> PAGEREF _Toc532200744 \h </w:instrText>
            </w:r>
            <w:r>
              <w:rPr>
                <w:noProof/>
                <w:webHidden/>
              </w:rPr>
            </w:r>
            <w:r>
              <w:rPr>
                <w:noProof/>
                <w:webHidden/>
              </w:rPr>
              <w:fldChar w:fldCharType="separate"/>
            </w:r>
            <w:r>
              <w:rPr>
                <w:noProof/>
                <w:webHidden/>
              </w:rPr>
              <w:t>10</w:t>
            </w:r>
            <w:r>
              <w:rPr>
                <w:noProof/>
                <w:webHidden/>
              </w:rPr>
              <w:fldChar w:fldCharType="end"/>
            </w:r>
          </w:hyperlink>
        </w:p>
        <w:p w14:paraId="4916DA78" w14:textId="057FE36B" w:rsidR="00121B40" w:rsidRDefault="00121B40">
          <w:pPr>
            <w:pStyle w:val="TOC2"/>
            <w:tabs>
              <w:tab w:val="left" w:pos="660"/>
              <w:tab w:val="right" w:leader="dot" w:pos="9350"/>
            </w:tabs>
            <w:rPr>
              <w:rFonts w:eastAsiaTheme="minorEastAsia"/>
              <w:noProof/>
            </w:rPr>
          </w:pPr>
          <w:hyperlink w:anchor="_Toc532200745" w:history="1">
            <w:r w:rsidRPr="00F9190F">
              <w:rPr>
                <w:rStyle w:val="Hyperlink"/>
                <w:noProof/>
              </w:rPr>
              <w:t>5.</w:t>
            </w:r>
            <w:r>
              <w:rPr>
                <w:rFonts w:eastAsiaTheme="minorEastAsia"/>
                <w:noProof/>
              </w:rPr>
              <w:tab/>
            </w:r>
            <w:r w:rsidRPr="00F9190F">
              <w:rPr>
                <w:rStyle w:val="Hyperlink"/>
                <w:noProof/>
              </w:rPr>
              <w:t>Who benefits from the data transparency?</w:t>
            </w:r>
            <w:r>
              <w:rPr>
                <w:noProof/>
                <w:webHidden/>
              </w:rPr>
              <w:tab/>
            </w:r>
            <w:r>
              <w:rPr>
                <w:noProof/>
                <w:webHidden/>
              </w:rPr>
              <w:fldChar w:fldCharType="begin"/>
            </w:r>
            <w:r>
              <w:rPr>
                <w:noProof/>
                <w:webHidden/>
              </w:rPr>
              <w:instrText xml:space="preserve"> PAGEREF _Toc532200745 \h </w:instrText>
            </w:r>
            <w:r>
              <w:rPr>
                <w:noProof/>
                <w:webHidden/>
              </w:rPr>
            </w:r>
            <w:r>
              <w:rPr>
                <w:noProof/>
                <w:webHidden/>
              </w:rPr>
              <w:fldChar w:fldCharType="separate"/>
            </w:r>
            <w:r>
              <w:rPr>
                <w:noProof/>
                <w:webHidden/>
              </w:rPr>
              <w:t>11</w:t>
            </w:r>
            <w:r>
              <w:rPr>
                <w:noProof/>
                <w:webHidden/>
              </w:rPr>
              <w:fldChar w:fldCharType="end"/>
            </w:r>
          </w:hyperlink>
        </w:p>
        <w:p w14:paraId="0CC80078" w14:textId="389B1D4E" w:rsidR="00121B40" w:rsidRDefault="00121B40">
          <w:pPr>
            <w:pStyle w:val="TOC1"/>
            <w:tabs>
              <w:tab w:val="right" w:leader="dot" w:pos="9350"/>
            </w:tabs>
            <w:rPr>
              <w:rFonts w:eastAsiaTheme="minorEastAsia"/>
              <w:noProof/>
            </w:rPr>
          </w:pPr>
          <w:hyperlink w:anchor="_Toc532200746" w:history="1">
            <w:r w:rsidRPr="00F9190F">
              <w:rPr>
                <w:rStyle w:val="Hyperlink"/>
                <w:noProof/>
              </w:rPr>
              <w:t>Research</w:t>
            </w:r>
            <w:r>
              <w:rPr>
                <w:noProof/>
                <w:webHidden/>
              </w:rPr>
              <w:tab/>
            </w:r>
            <w:r>
              <w:rPr>
                <w:noProof/>
                <w:webHidden/>
              </w:rPr>
              <w:fldChar w:fldCharType="begin"/>
            </w:r>
            <w:r>
              <w:rPr>
                <w:noProof/>
                <w:webHidden/>
              </w:rPr>
              <w:instrText xml:space="preserve"> PAGEREF _Toc532200746 \h </w:instrText>
            </w:r>
            <w:r>
              <w:rPr>
                <w:noProof/>
                <w:webHidden/>
              </w:rPr>
            </w:r>
            <w:r>
              <w:rPr>
                <w:noProof/>
                <w:webHidden/>
              </w:rPr>
              <w:fldChar w:fldCharType="separate"/>
            </w:r>
            <w:r>
              <w:rPr>
                <w:noProof/>
                <w:webHidden/>
              </w:rPr>
              <w:t>13</w:t>
            </w:r>
            <w:r>
              <w:rPr>
                <w:noProof/>
                <w:webHidden/>
              </w:rPr>
              <w:fldChar w:fldCharType="end"/>
            </w:r>
          </w:hyperlink>
        </w:p>
        <w:p w14:paraId="6FC6AB05" w14:textId="45EA5DF8" w:rsidR="00121B40" w:rsidRDefault="00121B40">
          <w:pPr>
            <w:pStyle w:val="TOC2"/>
            <w:tabs>
              <w:tab w:val="left" w:pos="660"/>
              <w:tab w:val="right" w:leader="dot" w:pos="9350"/>
            </w:tabs>
            <w:rPr>
              <w:rFonts w:eastAsiaTheme="minorEastAsia"/>
              <w:noProof/>
            </w:rPr>
          </w:pPr>
          <w:hyperlink w:anchor="_Toc532200747" w:history="1">
            <w:r w:rsidRPr="00F9190F">
              <w:rPr>
                <w:rStyle w:val="Hyperlink"/>
                <w:noProof/>
              </w:rPr>
              <w:t>1.</w:t>
            </w:r>
            <w:r>
              <w:rPr>
                <w:rFonts w:eastAsiaTheme="minorEastAsia"/>
                <w:noProof/>
              </w:rPr>
              <w:tab/>
            </w:r>
            <w:r w:rsidRPr="00F9190F">
              <w:rPr>
                <w:rStyle w:val="Hyperlink"/>
                <w:noProof/>
              </w:rPr>
              <w:t>Research gaps</w:t>
            </w:r>
            <w:r>
              <w:rPr>
                <w:noProof/>
                <w:webHidden/>
              </w:rPr>
              <w:tab/>
            </w:r>
            <w:r>
              <w:rPr>
                <w:noProof/>
                <w:webHidden/>
              </w:rPr>
              <w:fldChar w:fldCharType="begin"/>
            </w:r>
            <w:r>
              <w:rPr>
                <w:noProof/>
                <w:webHidden/>
              </w:rPr>
              <w:instrText xml:space="preserve"> PAGEREF _Toc532200747 \h </w:instrText>
            </w:r>
            <w:r>
              <w:rPr>
                <w:noProof/>
                <w:webHidden/>
              </w:rPr>
            </w:r>
            <w:r>
              <w:rPr>
                <w:noProof/>
                <w:webHidden/>
              </w:rPr>
              <w:fldChar w:fldCharType="separate"/>
            </w:r>
            <w:r>
              <w:rPr>
                <w:noProof/>
                <w:webHidden/>
              </w:rPr>
              <w:t>13</w:t>
            </w:r>
            <w:r>
              <w:rPr>
                <w:noProof/>
                <w:webHidden/>
              </w:rPr>
              <w:fldChar w:fldCharType="end"/>
            </w:r>
          </w:hyperlink>
        </w:p>
        <w:p w14:paraId="339BDE32" w14:textId="264C07E1" w:rsidR="00121B40" w:rsidRDefault="00121B40">
          <w:pPr>
            <w:pStyle w:val="TOC2"/>
            <w:tabs>
              <w:tab w:val="left" w:pos="660"/>
              <w:tab w:val="right" w:leader="dot" w:pos="9350"/>
            </w:tabs>
            <w:rPr>
              <w:rFonts w:eastAsiaTheme="minorEastAsia"/>
              <w:noProof/>
            </w:rPr>
          </w:pPr>
          <w:hyperlink w:anchor="_Toc532200748" w:history="1">
            <w:r w:rsidRPr="00F9190F">
              <w:rPr>
                <w:rStyle w:val="Hyperlink"/>
                <w:noProof/>
              </w:rPr>
              <w:t>2.</w:t>
            </w:r>
            <w:r>
              <w:rPr>
                <w:rFonts w:eastAsiaTheme="minorEastAsia"/>
                <w:noProof/>
              </w:rPr>
              <w:tab/>
            </w:r>
            <w:r w:rsidRPr="00F9190F">
              <w:rPr>
                <w:rStyle w:val="Hyperlink"/>
                <w:noProof/>
              </w:rPr>
              <w:t>Research hypotheses</w:t>
            </w:r>
            <w:r>
              <w:rPr>
                <w:noProof/>
                <w:webHidden/>
              </w:rPr>
              <w:tab/>
            </w:r>
            <w:r>
              <w:rPr>
                <w:noProof/>
                <w:webHidden/>
              </w:rPr>
              <w:fldChar w:fldCharType="begin"/>
            </w:r>
            <w:r>
              <w:rPr>
                <w:noProof/>
                <w:webHidden/>
              </w:rPr>
              <w:instrText xml:space="preserve"> PAGEREF _Toc532200748 \h </w:instrText>
            </w:r>
            <w:r>
              <w:rPr>
                <w:noProof/>
                <w:webHidden/>
              </w:rPr>
            </w:r>
            <w:r>
              <w:rPr>
                <w:noProof/>
                <w:webHidden/>
              </w:rPr>
              <w:fldChar w:fldCharType="separate"/>
            </w:r>
            <w:r>
              <w:rPr>
                <w:noProof/>
                <w:webHidden/>
              </w:rPr>
              <w:t>15</w:t>
            </w:r>
            <w:r>
              <w:rPr>
                <w:noProof/>
                <w:webHidden/>
              </w:rPr>
              <w:fldChar w:fldCharType="end"/>
            </w:r>
          </w:hyperlink>
        </w:p>
        <w:p w14:paraId="7DA7F5E8" w14:textId="633E169A" w:rsidR="00121B40" w:rsidRDefault="00121B40">
          <w:pPr>
            <w:pStyle w:val="TOC2"/>
            <w:tabs>
              <w:tab w:val="left" w:pos="660"/>
              <w:tab w:val="right" w:leader="dot" w:pos="9350"/>
            </w:tabs>
            <w:rPr>
              <w:rFonts w:eastAsiaTheme="minorEastAsia"/>
              <w:noProof/>
            </w:rPr>
          </w:pPr>
          <w:hyperlink w:anchor="_Toc532200749" w:history="1">
            <w:r w:rsidRPr="00F9190F">
              <w:rPr>
                <w:rStyle w:val="Hyperlink"/>
                <w:noProof/>
              </w:rPr>
              <w:t>3.</w:t>
            </w:r>
            <w:r>
              <w:rPr>
                <w:rFonts w:eastAsiaTheme="minorEastAsia"/>
                <w:noProof/>
              </w:rPr>
              <w:tab/>
            </w:r>
            <w:r w:rsidRPr="00F9190F">
              <w:rPr>
                <w:rStyle w:val="Hyperlink"/>
                <w:noProof/>
              </w:rPr>
              <w:t>H1: increase key stakeholders interactions</w:t>
            </w:r>
            <w:r>
              <w:rPr>
                <w:noProof/>
                <w:webHidden/>
              </w:rPr>
              <w:tab/>
            </w:r>
            <w:r>
              <w:rPr>
                <w:noProof/>
                <w:webHidden/>
              </w:rPr>
              <w:fldChar w:fldCharType="begin"/>
            </w:r>
            <w:r>
              <w:rPr>
                <w:noProof/>
                <w:webHidden/>
              </w:rPr>
              <w:instrText xml:space="preserve"> PAGEREF _Toc532200749 \h </w:instrText>
            </w:r>
            <w:r>
              <w:rPr>
                <w:noProof/>
                <w:webHidden/>
              </w:rPr>
            </w:r>
            <w:r>
              <w:rPr>
                <w:noProof/>
                <w:webHidden/>
              </w:rPr>
              <w:fldChar w:fldCharType="separate"/>
            </w:r>
            <w:r>
              <w:rPr>
                <w:noProof/>
                <w:webHidden/>
              </w:rPr>
              <w:t>16</w:t>
            </w:r>
            <w:r>
              <w:rPr>
                <w:noProof/>
                <w:webHidden/>
              </w:rPr>
              <w:fldChar w:fldCharType="end"/>
            </w:r>
          </w:hyperlink>
        </w:p>
        <w:p w14:paraId="2F91CC01" w14:textId="3204AF14" w:rsidR="00121B40" w:rsidRDefault="00121B40">
          <w:pPr>
            <w:pStyle w:val="TOC2"/>
            <w:tabs>
              <w:tab w:val="left" w:pos="660"/>
              <w:tab w:val="right" w:leader="dot" w:pos="9350"/>
            </w:tabs>
            <w:rPr>
              <w:rFonts w:eastAsiaTheme="minorEastAsia"/>
              <w:noProof/>
            </w:rPr>
          </w:pPr>
          <w:hyperlink w:anchor="_Toc532200750" w:history="1">
            <w:r w:rsidRPr="00F9190F">
              <w:rPr>
                <w:rStyle w:val="Hyperlink"/>
                <w:noProof/>
              </w:rPr>
              <w:t>4.</w:t>
            </w:r>
            <w:r>
              <w:rPr>
                <w:rFonts w:eastAsiaTheme="minorEastAsia"/>
                <w:noProof/>
              </w:rPr>
              <w:tab/>
            </w:r>
            <w:r w:rsidRPr="00F9190F">
              <w:rPr>
                <w:rStyle w:val="Hyperlink"/>
                <w:noProof/>
              </w:rPr>
              <w:t>H2 : increased overall Energy Efficiency initiatives</w:t>
            </w:r>
            <w:r>
              <w:rPr>
                <w:noProof/>
                <w:webHidden/>
              </w:rPr>
              <w:tab/>
            </w:r>
            <w:r>
              <w:rPr>
                <w:noProof/>
                <w:webHidden/>
              </w:rPr>
              <w:fldChar w:fldCharType="begin"/>
            </w:r>
            <w:r>
              <w:rPr>
                <w:noProof/>
                <w:webHidden/>
              </w:rPr>
              <w:instrText xml:space="preserve"> PAGEREF _Toc532200750 \h </w:instrText>
            </w:r>
            <w:r>
              <w:rPr>
                <w:noProof/>
                <w:webHidden/>
              </w:rPr>
            </w:r>
            <w:r>
              <w:rPr>
                <w:noProof/>
                <w:webHidden/>
              </w:rPr>
              <w:fldChar w:fldCharType="separate"/>
            </w:r>
            <w:r>
              <w:rPr>
                <w:noProof/>
                <w:webHidden/>
              </w:rPr>
              <w:t>23</w:t>
            </w:r>
            <w:r>
              <w:rPr>
                <w:noProof/>
                <w:webHidden/>
              </w:rPr>
              <w:fldChar w:fldCharType="end"/>
            </w:r>
          </w:hyperlink>
        </w:p>
        <w:p w14:paraId="074C0C9F" w14:textId="39BC0311" w:rsidR="00121B40" w:rsidRDefault="00121B40">
          <w:pPr>
            <w:pStyle w:val="TOC2"/>
            <w:tabs>
              <w:tab w:val="left" w:pos="660"/>
              <w:tab w:val="right" w:leader="dot" w:pos="9350"/>
            </w:tabs>
            <w:rPr>
              <w:rFonts w:eastAsiaTheme="minorEastAsia"/>
              <w:noProof/>
            </w:rPr>
          </w:pPr>
          <w:hyperlink w:anchor="_Toc532200751" w:history="1">
            <w:r w:rsidRPr="00F9190F">
              <w:rPr>
                <w:rStyle w:val="Hyperlink"/>
                <w:noProof/>
              </w:rPr>
              <w:t>5.</w:t>
            </w:r>
            <w:r>
              <w:rPr>
                <w:rFonts w:eastAsiaTheme="minorEastAsia"/>
                <w:noProof/>
              </w:rPr>
              <w:tab/>
            </w:r>
            <w:r w:rsidRPr="00F9190F">
              <w:rPr>
                <w:rStyle w:val="Hyperlink"/>
                <w:noProof/>
              </w:rPr>
              <w:t>H3 :</w:t>
            </w:r>
            <w:r w:rsidRPr="00F9190F">
              <w:rPr>
                <w:rStyle w:val="Hyperlink"/>
                <w:rFonts w:hAnsi="Corbel"/>
                <w:noProof/>
                <w:kern w:val="24"/>
              </w:rPr>
              <w:t xml:space="preserve"> </w:t>
            </w:r>
            <w:r w:rsidRPr="00F9190F">
              <w:rPr>
                <w:rStyle w:val="Hyperlink"/>
                <w:noProof/>
              </w:rPr>
              <w:t>increased energy efficiency</w:t>
            </w:r>
            <w:r>
              <w:rPr>
                <w:noProof/>
                <w:webHidden/>
              </w:rPr>
              <w:tab/>
            </w:r>
            <w:r>
              <w:rPr>
                <w:noProof/>
                <w:webHidden/>
              </w:rPr>
              <w:fldChar w:fldCharType="begin"/>
            </w:r>
            <w:r>
              <w:rPr>
                <w:noProof/>
                <w:webHidden/>
              </w:rPr>
              <w:instrText xml:space="preserve"> PAGEREF _Toc532200751 \h </w:instrText>
            </w:r>
            <w:r>
              <w:rPr>
                <w:noProof/>
                <w:webHidden/>
              </w:rPr>
            </w:r>
            <w:r>
              <w:rPr>
                <w:noProof/>
                <w:webHidden/>
              </w:rPr>
              <w:fldChar w:fldCharType="separate"/>
            </w:r>
            <w:r>
              <w:rPr>
                <w:noProof/>
                <w:webHidden/>
              </w:rPr>
              <w:t>29</w:t>
            </w:r>
            <w:r>
              <w:rPr>
                <w:noProof/>
                <w:webHidden/>
              </w:rPr>
              <w:fldChar w:fldCharType="end"/>
            </w:r>
          </w:hyperlink>
        </w:p>
        <w:p w14:paraId="0B8CE377" w14:textId="12884B32" w:rsidR="00121B40" w:rsidRDefault="00121B40">
          <w:pPr>
            <w:pStyle w:val="TOC1"/>
            <w:tabs>
              <w:tab w:val="right" w:leader="dot" w:pos="9350"/>
            </w:tabs>
            <w:rPr>
              <w:rFonts w:eastAsiaTheme="minorEastAsia"/>
              <w:noProof/>
            </w:rPr>
          </w:pPr>
          <w:hyperlink w:anchor="_Toc532200752" w:history="1">
            <w:r w:rsidRPr="00F9190F">
              <w:rPr>
                <w:rStyle w:val="Hyperlink"/>
                <w:noProof/>
              </w:rPr>
              <w:t>Deliverables</w:t>
            </w:r>
            <w:r>
              <w:rPr>
                <w:noProof/>
                <w:webHidden/>
              </w:rPr>
              <w:tab/>
            </w:r>
            <w:r>
              <w:rPr>
                <w:noProof/>
                <w:webHidden/>
              </w:rPr>
              <w:fldChar w:fldCharType="begin"/>
            </w:r>
            <w:r>
              <w:rPr>
                <w:noProof/>
                <w:webHidden/>
              </w:rPr>
              <w:instrText xml:space="preserve"> PAGEREF _Toc532200752 \h </w:instrText>
            </w:r>
            <w:r>
              <w:rPr>
                <w:noProof/>
                <w:webHidden/>
              </w:rPr>
            </w:r>
            <w:r>
              <w:rPr>
                <w:noProof/>
                <w:webHidden/>
              </w:rPr>
              <w:fldChar w:fldCharType="separate"/>
            </w:r>
            <w:r>
              <w:rPr>
                <w:noProof/>
                <w:webHidden/>
              </w:rPr>
              <w:t>33</w:t>
            </w:r>
            <w:r>
              <w:rPr>
                <w:noProof/>
                <w:webHidden/>
              </w:rPr>
              <w:fldChar w:fldCharType="end"/>
            </w:r>
          </w:hyperlink>
        </w:p>
        <w:p w14:paraId="36FF0C72" w14:textId="3CA53D18" w:rsidR="00121B40" w:rsidRDefault="00121B40">
          <w:pPr>
            <w:pStyle w:val="TOC1"/>
            <w:tabs>
              <w:tab w:val="right" w:leader="dot" w:pos="9350"/>
            </w:tabs>
            <w:rPr>
              <w:rFonts w:eastAsiaTheme="minorEastAsia"/>
              <w:noProof/>
            </w:rPr>
          </w:pPr>
          <w:hyperlink w:anchor="_Toc532200753" w:history="1">
            <w:r w:rsidRPr="00F9190F">
              <w:rPr>
                <w:rStyle w:val="Hyperlink"/>
                <w:noProof/>
              </w:rPr>
              <w:t>References</w:t>
            </w:r>
            <w:r>
              <w:rPr>
                <w:noProof/>
                <w:webHidden/>
              </w:rPr>
              <w:tab/>
            </w:r>
            <w:r>
              <w:rPr>
                <w:noProof/>
                <w:webHidden/>
              </w:rPr>
              <w:fldChar w:fldCharType="begin"/>
            </w:r>
            <w:r>
              <w:rPr>
                <w:noProof/>
                <w:webHidden/>
              </w:rPr>
              <w:instrText xml:space="preserve"> PAGEREF _Toc532200753 \h </w:instrText>
            </w:r>
            <w:r>
              <w:rPr>
                <w:noProof/>
                <w:webHidden/>
              </w:rPr>
            </w:r>
            <w:r>
              <w:rPr>
                <w:noProof/>
                <w:webHidden/>
              </w:rPr>
              <w:fldChar w:fldCharType="separate"/>
            </w:r>
            <w:r>
              <w:rPr>
                <w:noProof/>
                <w:webHidden/>
              </w:rPr>
              <w:t>34</w:t>
            </w:r>
            <w:r>
              <w:rPr>
                <w:noProof/>
                <w:webHidden/>
              </w:rPr>
              <w:fldChar w:fldCharType="end"/>
            </w:r>
          </w:hyperlink>
        </w:p>
        <w:p w14:paraId="461319C5" w14:textId="660CC36F" w:rsidR="00700FB8" w:rsidRDefault="00121B40" w:rsidP="00700FB8">
          <w:pPr>
            <w:rPr>
              <w:b/>
              <w:bCs/>
              <w:noProof/>
            </w:rPr>
          </w:pPr>
          <w:r>
            <w:rPr>
              <w:b/>
              <w:bCs/>
              <w:noProof/>
            </w:rPr>
            <w:fldChar w:fldCharType="end"/>
          </w:r>
        </w:p>
      </w:sdtContent>
    </w:sdt>
    <w:p w14:paraId="1A509CA5" w14:textId="77777777" w:rsidR="007B6EE5" w:rsidRDefault="007B6EE5">
      <w:pPr>
        <w:pStyle w:val="TableofFigures"/>
        <w:tabs>
          <w:tab w:val="right" w:leader="dot" w:pos="9350"/>
        </w:tabs>
        <w:rPr>
          <w:bCs/>
          <w:noProof/>
          <w:color w:val="1F497D" w:themeColor="text2"/>
          <w:sz w:val="32"/>
        </w:rPr>
      </w:pPr>
    </w:p>
    <w:p w14:paraId="7A889B42" w14:textId="77777777" w:rsidR="007B6EE5" w:rsidRDefault="007B6EE5">
      <w:pPr>
        <w:pStyle w:val="TableofFigures"/>
        <w:tabs>
          <w:tab w:val="right" w:leader="dot" w:pos="9350"/>
        </w:tabs>
        <w:rPr>
          <w:bCs/>
          <w:noProof/>
          <w:color w:val="1F497D" w:themeColor="text2"/>
          <w:sz w:val="32"/>
        </w:rPr>
      </w:pPr>
    </w:p>
    <w:p w14:paraId="7C417AE4" w14:textId="77777777" w:rsidR="00073A3B" w:rsidRDefault="00073A3B">
      <w:pPr>
        <w:rPr>
          <w:bCs/>
          <w:noProof/>
          <w:color w:val="1F497D" w:themeColor="text2"/>
          <w:sz w:val="32"/>
        </w:rPr>
      </w:pPr>
      <w:r>
        <w:rPr>
          <w:bCs/>
          <w:noProof/>
          <w:color w:val="1F497D" w:themeColor="text2"/>
          <w:sz w:val="32"/>
        </w:rPr>
        <w:br w:type="page"/>
      </w:r>
    </w:p>
    <w:p w14:paraId="69B4AB11" w14:textId="3D9E481E" w:rsidR="00CE5ACF" w:rsidRPr="00CE5ACF" w:rsidRDefault="00CE5ACF">
      <w:pPr>
        <w:pStyle w:val="TableofFigures"/>
        <w:tabs>
          <w:tab w:val="right" w:leader="dot" w:pos="9350"/>
        </w:tabs>
        <w:rPr>
          <w:bCs/>
          <w:noProof/>
          <w:color w:val="1F497D" w:themeColor="text2"/>
          <w:sz w:val="32"/>
        </w:rPr>
      </w:pPr>
      <w:r w:rsidRPr="00CE5ACF">
        <w:rPr>
          <w:bCs/>
          <w:noProof/>
          <w:color w:val="1F497D" w:themeColor="text2"/>
          <w:sz w:val="32"/>
        </w:rPr>
        <w:lastRenderedPageBreak/>
        <w:t>Table of Figures</w:t>
      </w:r>
    </w:p>
    <w:p w14:paraId="2F9D26FB" w14:textId="77777777" w:rsidR="00CE5ACF" w:rsidRDefault="00CE5ACF">
      <w:pPr>
        <w:pStyle w:val="TableofFigures"/>
        <w:tabs>
          <w:tab w:val="right" w:leader="dot" w:pos="9350"/>
        </w:tabs>
        <w:rPr>
          <w:b/>
          <w:bCs/>
          <w:noProof/>
        </w:rPr>
      </w:pPr>
    </w:p>
    <w:p w14:paraId="70DE7210" w14:textId="2AE4B364" w:rsidR="00073A3B" w:rsidRDefault="00CE5ACF">
      <w:pPr>
        <w:pStyle w:val="TableofFigures"/>
        <w:tabs>
          <w:tab w:val="right" w:leader="dot" w:pos="9350"/>
        </w:tabs>
        <w:rPr>
          <w:rFonts w:eastAsiaTheme="minorEastAsia"/>
          <w:noProof/>
        </w:rPr>
      </w:pPr>
      <w:r>
        <w:rPr>
          <w:b/>
          <w:bCs/>
          <w:noProof/>
        </w:rPr>
        <w:fldChar w:fldCharType="begin"/>
      </w:r>
      <w:r>
        <w:rPr>
          <w:b/>
          <w:bCs/>
          <w:noProof/>
        </w:rPr>
        <w:instrText xml:space="preserve"> TOC \h \z \c "Figure" </w:instrText>
      </w:r>
      <w:r>
        <w:rPr>
          <w:b/>
          <w:bCs/>
          <w:noProof/>
        </w:rPr>
        <w:fldChar w:fldCharType="separate"/>
      </w:r>
      <w:hyperlink w:anchor="_Toc532165403" w:history="1">
        <w:r w:rsidR="00073A3B" w:rsidRPr="004C1568">
          <w:rPr>
            <w:rStyle w:val="Hyperlink"/>
            <w:noProof/>
          </w:rPr>
          <w:t>Figure 1: Energy Intensity Index by end-use sector.</w:t>
        </w:r>
        <w:r w:rsidR="00073A3B" w:rsidRPr="004C1568">
          <w:rPr>
            <w:rStyle w:val="Hyperlink"/>
            <w:rFonts w:ascii="Calibri" w:hAnsi="Calibri" w:cs="Calibri"/>
            <w:noProof/>
          </w:rPr>
          <w:t>(DOE 2012)</w:t>
        </w:r>
        <w:r w:rsidR="00073A3B">
          <w:rPr>
            <w:noProof/>
            <w:webHidden/>
          </w:rPr>
          <w:tab/>
        </w:r>
        <w:r w:rsidR="00073A3B">
          <w:rPr>
            <w:noProof/>
            <w:webHidden/>
          </w:rPr>
          <w:fldChar w:fldCharType="begin"/>
        </w:r>
        <w:r w:rsidR="00073A3B">
          <w:rPr>
            <w:noProof/>
            <w:webHidden/>
          </w:rPr>
          <w:instrText xml:space="preserve"> PAGEREF _Toc532165403 \h </w:instrText>
        </w:r>
        <w:r w:rsidR="00073A3B">
          <w:rPr>
            <w:noProof/>
            <w:webHidden/>
          </w:rPr>
        </w:r>
        <w:r w:rsidR="00073A3B">
          <w:rPr>
            <w:noProof/>
            <w:webHidden/>
          </w:rPr>
          <w:fldChar w:fldCharType="separate"/>
        </w:r>
        <w:r w:rsidR="00121B40">
          <w:rPr>
            <w:noProof/>
            <w:webHidden/>
          </w:rPr>
          <w:t>8</w:t>
        </w:r>
        <w:r w:rsidR="00073A3B">
          <w:rPr>
            <w:noProof/>
            <w:webHidden/>
          </w:rPr>
          <w:fldChar w:fldCharType="end"/>
        </w:r>
      </w:hyperlink>
    </w:p>
    <w:p w14:paraId="20CAB38B" w14:textId="27723A64" w:rsidR="00073A3B" w:rsidRDefault="00073A3B">
      <w:pPr>
        <w:pStyle w:val="TableofFigures"/>
        <w:tabs>
          <w:tab w:val="right" w:leader="dot" w:pos="9350"/>
        </w:tabs>
        <w:rPr>
          <w:rFonts w:eastAsiaTheme="minorEastAsia"/>
          <w:noProof/>
        </w:rPr>
      </w:pPr>
      <w:hyperlink w:anchor="_Toc532165404" w:history="1">
        <w:r w:rsidRPr="004C1568">
          <w:rPr>
            <w:rStyle w:val="Hyperlink"/>
            <w:noProof/>
          </w:rPr>
          <w:t>Figure 2: the Drawdown, list of building related solutions</w:t>
        </w:r>
        <w:r>
          <w:rPr>
            <w:noProof/>
            <w:webHidden/>
          </w:rPr>
          <w:tab/>
        </w:r>
        <w:r>
          <w:rPr>
            <w:noProof/>
            <w:webHidden/>
          </w:rPr>
          <w:fldChar w:fldCharType="begin"/>
        </w:r>
        <w:r>
          <w:rPr>
            <w:noProof/>
            <w:webHidden/>
          </w:rPr>
          <w:instrText xml:space="preserve"> PAGEREF _Toc532165404 \h </w:instrText>
        </w:r>
        <w:r>
          <w:rPr>
            <w:noProof/>
            <w:webHidden/>
          </w:rPr>
        </w:r>
        <w:r>
          <w:rPr>
            <w:noProof/>
            <w:webHidden/>
          </w:rPr>
          <w:fldChar w:fldCharType="separate"/>
        </w:r>
        <w:r w:rsidR="00121B40">
          <w:rPr>
            <w:noProof/>
            <w:webHidden/>
          </w:rPr>
          <w:t>9</w:t>
        </w:r>
        <w:r>
          <w:rPr>
            <w:noProof/>
            <w:webHidden/>
          </w:rPr>
          <w:fldChar w:fldCharType="end"/>
        </w:r>
      </w:hyperlink>
    </w:p>
    <w:p w14:paraId="1B56AC59" w14:textId="27B7FF57" w:rsidR="00073A3B" w:rsidRDefault="00073A3B">
      <w:pPr>
        <w:pStyle w:val="TableofFigures"/>
        <w:tabs>
          <w:tab w:val="right" w:leader="dot" w:pos="9350"/>
        </w:tabs>
        <w:rPr>
          <w:rFonts w:eastAsiaTheme="minorEastAsia"/>
          <w:noProof/>
        </w:rPr>
      </w:pPr>
      <w:hyperlink w:anchor="_Toc532165405" w:history="1">
        <w:r w:rsidRPr="004C1568">
          <w:rPr>
            <w:rStyle w:val="Hyperlink"/>
            <w:noProof/>
          </w:rPr>
          <w:t>Figure 3: McKinsey evaluation of Market opportunity for Energy Service Companies (ESCO)</w:t>
        </w:r>
        <w:r>
          <w:rPr>
            <w:noProof/>
            <w:webHidden/>
          </w:rPr>
          <w:tab/>
        </w:r>
        <w:r>
          <w:rPr>
            <w:noProof/>
            <w:webHidden/>
          </w:rPr>
          <w:fldChar w:fldCharType="begin"/>
        </w:r>
        <w:r>
          <w:rPr>
            <w:noProof/>
            <w:webHidden/>
          </w:rPr>
          <w:instrText xml:space="preserve"> PAGEREF _Toc532165405 \h </w:instrText>
        </w:r>
        <w:r>
          <w:rPr>
            <w:noProof/>
            <w:webHidden/>
          </w:rPr>
        </w:r>
        <w:r>
          <w:rPr>
            <w:noProof/>
            <w:webHidden/>
          </w:rPr>
          <w:fldChar w:fldCharType="separate"/>
        </w:r>
        <w:r w:rsidR="00121B40">
          <w:rPr>
            <w:noProof/>
            <w:webHidden/>
          </w:rPr>
          <w:t>10</w:t>
        </w:r>
        <w:r>
          <w:rPr>
            <w:noProof/>
            <w:webHidden/>
          </w:rPr>
          <w:fldChar w:fldCharType="end"/>
        </w:r>
      </w:hyperlink>
    </w:p>
    <w:p w14:paraId="671E856E" w14:textId="10DDCD04" w:rsidR="00073A3B" w:rsidRDefault="00073A3B">
      <w:pPr>
        <w:pStyle w:val="TableofFigures"/>
        <w:tabs>
          <w:tab w:val="right" w:leader="dot" w:pos="9350"/>
        </w:tabs>
        <w:rPr>
          <w:rFonts w:eastAsiaTheme="minorEastAsia"/>
          <w:noProof/>
        </w:rPr>
      </w:pPr>
      <w:hyperlink w:anchor="_Toc532165406" w:history="1">
        <w:r w:rsidRPr="004C1568">
          <w:rPr>
            <w:rStyle w:val="Hyperlink"/>
            <w:noProof/>
          </w:rPr>
          <w:t>Figure 4: maps of cities with benchmarking ordinance (IMT, 2018)</w:t>
        </w:r>
        <w:r>
          <w:rPr>
            <w:noProof/>
            <w:webHidden/>
          </w:rPr>
          <w:tab/>
        </w:r>
        <w:r>
          <w:rPr>
            <w:noProof/>
            <w:webHidden/>
          </w:rPr>
          <w:fldChar w:fldCharType="begin"/>
        </w:r>
        <w:r>
          <w:rPr>
            <w:noProof/>
            <w:webHidden/>
          </w:rPr>
          <w:instrText xml:space="preserve"> PAGEREF _Toc532165406 \h </w:instrText>
        </w:r>
        <w:r>
          <w:rPr>
            <w:noProof/>
            <w:webHidden/>
          </w:rPr>
        </w:r>
        <w:r>
          <w:rPr>
            <w:noProof/>
            <w:webHidden/>
          </w:rPr>
          <w:fldChar w:fldCharType="separate"/>
        </w:r>
        <w:r w:rsidR="00121B40">
          <w:rPr>
            <w:noProof/>
            <w:webHidden/>
          </w:rPr>
          <w:t>12</w:t>
        </w:r>
        <w:r>
          <w:rPr>
            <w:noProof/>
            <w:webHidden/>
          </w:rPr>
          <w:fldChar w:fldCharType="end"/>
        </w:r>
      </w:hyperlink>
    </w:p>
    <w:p w14:paraId="18F1C885" w14:textId="58FFF650" w:rsidR="00073A3B" w:rsidRDefault="00073A3B">
      <w:pPr>
        <w:pStyle w:val="TableofFigures"/>
        <w:tabs>
          <w:tab w:val="right" w:leader="dot" w:pos="9350"/>
        </w:tabs>
        <w:rPr>
          <w:rFonts w:eastAsiaTheme="minorEastAsia"/>
          <w:noProof/>
        </w:rPr>
      </w:pPr>
      <w:hyperlink w:anchor="_Toc532165407" w:history="1">
        <w:r w:rsidRPr="004C1568">
          <w:rPr>
            <w:rStyle w:val="Hyperlink"/>
            <w:noProof/>
          </w:rPr>
          <w:t>Figure 5:  Proposed methodology for identifying the impact of benchmarking and transparency ordinances</w:t>
        </w:r>
        <w:r>
          <w:rPr>
            <w:noProof/>
            <w:webHidden/>
          </w:rPr>
          <w:tab/>
        </w:r>
        <w:r>
          <w:rPr>
            <w:noProof/>
            <w:webHidden/>
          </w:rPr>
          <w:fldChar w:fldCharType="begin"/>
        </w:r>
        <w:r>
          <w:rPr>
            <w:noProof/>
            <w:webHidden/>
          </w:rPr>
          <w:instrText xml:space="preserve"> PAGEREF _Toc532165407 \h </w:instrText>
        </w:r>
        <w:r>
          <w:rPr>
            <w:noProof/>
            <w:webHidden/>
          </w:rPr>
        </w:r>
        <w:r>
          <w:rPr>
            <w:noProof/>
            <w:webHidden/>
          </w:rPr>
          <w:fldChar w:fldCharType="separate"/>
        </w:r>
        <w:r w:rsidR="00121B40">
          <w:rPr>
            <w:noProof/>
            <w:webHidden/>
          </w:rPr>
          <w:t>16</w:t>
        </w:r>
        <w:r>
          <w:rPr>
            <w:noProof/>
            <w:webHidden/>
          </w:rPr>
          <w:fldChar w:fldCharType="end"/>
        </w:r>
      </w:hyperlink>
    </w:p>
    <w:p w14:paraId="0EA65DF4" w14:textId="0A18CADB" w:rsidR="00073A3B" w:rsidRDefault="00073A3B">
      <w:pPr>
        <w:pStyle w:val="TableofFigures"/>
        <w:tabs>
          <w:tab w:val="right" w:leader="dot" w:pos="9350"/>
        </w:tabs>
        <w:rPr>
          <w:rFonts w:eastAsiaTheme="minorEastAsia"/>
          <w:noProof/>
        </w:rPr>
      </w:pPr>
      <w:hyperlink w:anchor="_Toc532165408" w:history="1">
        <w:r w:rsidRPr="004C1568">
          <w:rPr>
            <w:rStyle w:val="Hyperlink"/>
            <w:i/>
            <w:iCs/>
            <w:noProof/>
          </w:rPr>
          <w:t>Figure 6 : Importance of involving various stakeholders in the design of a benchmarking and transparency ordinance</w:t>
        </w:r>
        <w:r>
          <w:rPr>
            <w:noProof/>
            <w:webHidden/>
          </w:rPr>
          <w:tab/>
        </w:r>
        <w:r>
          <w:rPr>
            <w:noProof/>
            <w:webHidden/>
          </w:rPr>
          <w:fldChar w:fldCharType="begin"/>
        </w:r>
        <w:r>
          <w:rPr>
            <w:noProof/>
            <w:webHidden/>
          </w:rPr>
          <w:instrText xml:space="preserve"> PAGEREF _Toc532165408 \h </w:instrText>
        </w:r>
        <w:r>
          <w:rPr>
            <w:noProof/>
            <w:webHidden/>
          </w:rPr>
        </w:r>
        <w:r>
          <w:rPr>
            <w:noProof/>
            <w:webHidden/>
          </w:rPr>
          <w:fldChar w:fldCharType="separate"/>
        </w:r>
        <w:r w:rsidR="00121B40">
          <w:rPr>
            <w:noProof/>
            <w:webHidden/>
          </w:rPr>
          <w:t>19</w:t>
        </w:r>
        <w:r>
          <w:rPr>
            <w:noProof/>
            <w:webHidden/>
          </w:rPr>
          <w:fldChar w:fldCharType="end"/>
        </w:r>
      </w:hyperlink>
    </w:p>
    <w:p w14:paraId="1F6EFFA2" w14:textId="2DCE4BDB" w:rsidR="00073A3B" w:rsidRDefault="00073A3B">
      <w:pPr>
        <w:pStyle w:val="TableofFigures"/>
        <w:tabs>
          <w:tab w:val="right" w:leader="dot" w:pos="9350"/>
        </w:tabs>
        <w:rPr>
          <w:rFonts w:eastAsiaTheme="minorEastAsia"/>
          <w:noProof/>
        </w:rPr>
      </w:pPr>
      <w:hyperlink w:anchor="_Toc532165409" w:history="1">
        <w:r w:rsidRPr="004C1568">
          <w:rPr>
            <w:rStyle w:val="Hyperlink"/>
            <w:noProof/>
          </w:rPr>
          <w:t>Table Figure 7: timeline of benchmarking process</w:t>
        </w:r>
        <w:r>
          <w:rPr>
            <w:noProof/>
            <w:webHidden/>
          </w:rPr>
          <w:tab/>
        </w:r>
        <w:r>
          <w:rPr>
            <w:noProof/>
            <w:webHidden/>
          </w:rPr>
          <w:fldChar w:fldCharType="begin"/>
        </w:r>
        <w:r>
          <w:rPr>
            <w:noProof/>
            <w:webHidden/>
          </w:rPr>
          <w:instrText xml:space="preserve"> PAGEREF _Toc532165409 \h </w:instrText>
        </w:r>
        <w:r>
          <w:rPr>
            <w:noProof/>
            <w:webHidden/>
          </w:rPr>
        </w:r>
        <w:r>
          <w:rPr>
            <w:noProof/>
            <w:webHidden/>
          </w:rPr>
          <w:fldChar w:fldCharType="separate"/>
        </w:r>
        <w:r w:rsidR="00121B40">
          <w:rPr>
            <w:noProof/>
            <w:webHidden/>
          </w:rPr>
          <w:t>20</w:t>
        </w:r>
        <w:r>
          <w:rPr>
            <w:noProof/>
            <w:webHidden/>
          </w:rPr>
          <w:fldChar w:fldCharType="end"/>
        </w:r>
      </w:hyperlink>
    </w:p>
    <w:p w14:paraId="0051A0DA" w14:textId="792E3697" w:rsidR="00073A3B" w:rsidRDefault="00073A3B">
      <w:pPr>
        <w:pStyle w:val="TableofFigures"/>
        <w:tabs>
          <w:tab w:val="right" w:leader="dot" w:pos="9350"/>
        </w:tabs>
        <w:rPr>
          <w:rFonts w:eastAsiaTheme="minorEastAsia"/>
          <w:noProof/>
        </w:rPr>
      </w:pPr>
      <w:hyperlink w:anchor="_Toc532165410" w:history="1">
        <w:r w:rsidRPr="004C1568">
          <w:rPr>
            <w:rStyle w:val="Hyperlink"/>
            <w:noProof/>
          </w:rPr>
          <w:t>Figure 8: timeline of how Cambridge followed Boston’s effort to develop and implement a benchmarking ordinance</w:t>
        </w:r>
        <w:r>
          <w:rPr>
            <w:noProof/>
            <w:webHidden/>
          </w:rPr>
          <w:tab/>
        </w:r>
        <w:r>
          <w:rPr>
            <w:noProof/>
            <w:webHidden/>
          </w:rPr>
          <w:fldChar w:fldCharType="begin"/>
        </w:r>
        <w:r>
          <w:rPr>
            <w:noProof/>
            <w:webHidden/>
          </w:rPr>
          <w:instrText xml:space="preserve"> PAGEREF _Toc532165410 \h </w:instrText>
        </w:r>
        <w:r>
          <w:rPr>
            <w:noProof/>
            <w:webHidden/>
          </w:rPr>
        </w:r>
        <w:r>
          <w:rPr>
            <w:noProof/>
            <w:webHidden/>
          </w:rPr>
          <w:fldChar w:fldCharType="separate"/>
        </w:r>
        <w:r w:rsidR="00121B40">
          <w:rPr>
            <w:noProof/>
            <w:webHidden/>
          </w:rPr>
          <w:t>22</w:t>
        </w:r>
        <w:r>
          <w:rPr>
            <w:noProof/>
            <w:webHidden/>
          </w:rPr>
          <w:fldChar w:fldCharType="end"/>
        </w:r>
      </w:hyperlink>
    </w:p>
    <w:p w14:paraId="56948B1C" w14:textId="4B04D71D" w:rsidR="00073A3B" w:rsidRDefault="00073A3B">
      <w:pPr>
        <w:pStyle w:val="TableofFigures"/>
        <w:tabs>
          <w:tab w:val="right" w:leader="dot" w:pos="9350"/>
        </w:tabs>
        <w:rPr>
          <w:rFonts w:eastAsiaTheme="minorEastAsia"/>
          <w:noProof/>
        </w:rPr>
      </w:pPr>
      <w:hyperlink w:anchor="_Toc532165411" w:history="1">
        <w:r w:rsidRPr="004C1568">
          <w:rPr>
            <w:rStyle w:val="Hyperlink"/>
            <w:noProof/>
          </w:rPr>
          <w:t>Figure 9 square footage covered by voluntary effort compared to an ordinance</w:t>
        </w:r>
        <w:r>
          <w:rPr>
            <w:noProof/>
            <w:webHidden/>
          </w:rPr>
          <w:tab/>
        </w:r>
        <w:r>
          <w:rPr>
            <w:noProof/>
            <w:webHidden/>
          </w:rPr>
          <w:fldChar w:fldCharType="begin"/>
        </w:r>
        <w:r>
          <w:rPr>
            <w:noProof/>
            <w:webHidden/>
          </w:rPr>
          <w:instrText xml:space="preserve"> PAGEREF _Toc532165411 \h </w:instrText>
        </w:r>
        <w:r>
          <w:rPr>
            <w:noProof/>
            <w:webHidden/>
          </w:rPr>
        </w:r>
        <w:r>
          <w:rPr>
            <w:noProof/>
            <w:webHidden/>
          </w:rPr>
          <w:fldChar w:fldCharType="separate"/>
        </w:r>
        <w:r w:rsidR="00121B40">
          <w:rPr>
            <w:noProof/>
            <w:webHidden/>
          </w:rPr>
          <w:t>27</w:t>
        </w:r>
        <w:r>
          <w:rPr>
            <w:noProof/>
            <w:webHidden/>
          </w:rPr>
          <w:fldChar w:fldCharType="end"/>
        </w:r>
      </w:hyperlink>
    </w:p>
    <w:p w14:paraId="1BA988B1" w14:textId="6150E1E8" w:rsidR="00073A3B" w:rsidRDefault="00073A3B">
      <w:pPr>
        <w:pStyle w:val="TableofFigures"/>
        <w:tabs>
          <w:tab w:val="right" w:leader="dot" w:pos="9350"/>
        </w:tabs>
        <w:rPr>
          <w:rFonts w:eastAsiaTheme="minorEastAsia"/>
          <w:noProof/>
        </w:rPr>
      </w:pPr>
      <w:hyperlink w:anchor="_Toc532165412" w:history="1">
        <w:r w:rsidRPr="004C1568">
          <w:rPr>
            <w:rStyle w:val="Hyperlink"/>
            <w:noProof/>
          </w:rPr>
          <w:t>Figure 10 Durations of various energy competitions and enactement of a benchmarking ordinance.</w:t>
        </w:r>
        <w:r>
          <w:rPr>
            <w:noProof/>
            <w:webHidden/>
          </w:rPr>
          <w:tab/>
        </w:r>
        <w:r>
          <w:rPr>
            <w:noProof/>
            <w:webHidden/>
          </w:rPr>
          <w:fldChar w:fldCharType="begin"/>
        </w:r>
        <w:r>
          <w:rPr>
            <w:noProof/>
            <w:webHidden/>
          </w:rPr>
          <w:instrText xml:space="preserve"> PAGEREF _Toc532165412 \h </w:instrText>
        </w:r>
        <w:r>
          <w:rPr>
            <w:noProof/>
            <w:webHidden/>
          </w:rPr>
        </w:r>
        <w:r>
          <w:rPr>
            <w:noProof/>
            <w:webHidden/>
          </w:rPr>
          <w:fldChar w:fldCharType="separate"/>
        </w:r>
        <w:r w:rsidR="00121B40">
          <w:rPr>
            <w:noProof/>
            <w:webHidden/>
          </w:rPr>
          <w:t>28</w:t>
        </w:r>
        <w:r>
          <w:rPr>
            <w:noProof/>
            <w:webHidden/>
          </w:rPr>
          <w:fldChar w:fldCharType="end"/>
        </w:r>
      </w:hyperlink>
    </w:p>
    <w:p w14:paraId="51EDB628" w14:textId="0C46F0BA" w:rsidR="00073A3B" w:rsidRDefault="00073A3B">
      <w:pPr>
        <w:pStyle w:val="TableofFigures"/>
        <w:tabs>
          <w:tab w:val="right" w:leader="dot" w:pos="9350"/>
        </w:tabs>
        <w:rPr>
          <w:rFonts w:eastAsiaTheme="minorEastAsia"/>
          <w:noProof/>
        </w:rPr>
      </w:pPr>
      <w:hyperlink w:anchor="_Toc532165413" w:history="1">
        <w:r w:rsidRPr="004C1568">
          <w:rPr>
            <w:rStyle w:val="Hyperlink"/>
            <w:noProof/>
          </w:rPr>
          <w:t>Figure 11: Best practices developed by Energy Data Accelerators partners</w:t>
        </w:r>
        <w:r>
          <w:rPr>
            <w:noProof/>
            <w:webHidden/>
          </w:rPr>
          <w:tab/>
        </w:r>
        <w:r>
          <w:rPr>
            <w:noProof/>
            <w:webHidden/>
          </w:rPr>
          <w:fldChar w:fldCharType="begin"/>
        </w:r>
        <w:r>
          <w:rPr>
            <w:noProof/>
            <w:webHidden/>
          </w:rPr>
          <w:instrText xml:space="preserve"> PAGEREF _Toc532165413 \h </w:instrText>
        </w:r>
        <w:r>
          <w:rPr>
            <w:noProof/>
            <w:webHidden/>
          </w:rPr>
        </w:r>
        <w:r>
          <w:rPr>
            <w:noProof/>
            <w:webHidden/>
          </w:rPr>
          <w:fldChar w:fldCharType="separate"/>
        </w:r>
        <w:r w:rsidR="00121B40">
          <w:rPr>
            <w:noProof/>
            <w:webHidden/>
          </w:rPr>
          <w:t>29</w:t>
        </w:r>
        <w:r>
          <w:rPr>
            <w:noProof/>
            <w:webHidden/>
          </w:rPr>
          <w:fldChar w:fldCharType="end"/>
        </w:r>
      </w:hyperlink>
    </w:p>
    <w:p w14:paraId="2771FDCA" w14:textId="13A85C34" w:rsidR="00073A3B" w:rsidRDefault="00073A3B">
      <w:pPr>
        <w:pStyle w:val="TableofFigures"/>
        <w:tabs>
          <w:tab w:val="right" w:leader="dot" w:pos="9350"/>
        </w:tabs>
        <w:rPr>
          <w:rFonts w:eastAsiaTheme="minorEastAsia"/>
          <w:noProof/>
        </w:rPr>
      </w:pPr>
      <w:hyperlink w:anchor="_Toc532165414" w:history="1">
        <w:r w:rsidRPr="004C1568">
          <w:rPr>
            <w:rStyle w:val="Hyperlink"/>
            <w:noProof/>
          </w:rPr>
          <w:t>Figure 12: growth of the Energystar Database</w:t>
        </w:r>
        <w:r>
          <w:rPr>
            <w:noProof/>
            <w:webHidden/>
          </w:rPr>
          <w:tab/>
        </w:r>
        <w:r>
          <w:rPr>
            <w:noProof/>
            <w:webHidden/>
          </w:rPr>
          <w:fldChar w:fldCharType="begin"/>
        </w:r>
        <w:r>
          <w:rPr>
            <w:noProof/>
            <w:webHidden/>
          </w:rPr>
          <w:instrText xml:space="preserve"> PAGEREF _Toc532165414 \h </w:instrText>
        </w:r>
        <w:r>
          <w:rPr>
            <w:noProof/>
            <w:webHidden/>
          </w:rPr>
        </w:r>
        <w:r>
          <w:rPr>
            <w:noProof/>
            <w:webHidden/>
          </w:rPr>
          <w:fldChar w:fldCharType="separate"/>
        </w:r>
        <w:r w:rsidR="00121B40">
          <w:rPr>
            <w:noProof/>
            <w:webHidden/>
          </w:rPr>
          <w:t>32</w:t>
        </w:r>
        <w:r>
          <w:rPr>
            <w:noProof/>
            <w:webHidden/>
          </w:rPr>
          <w:fldChar w:fldCharType="end"/>
        </w:r>
      </w:hyperlink>
    </w:p>
    <w:p w14:paraId="5B21FF61" w14:textId="5D7391C4" w:rsidR="00073A3B" w:rsidRDefault="00073A3B">
      <w:pPr>
        <w:pStyle w:val="TableofFigures"/>
        <w:tabs>
          <w:tab w:val="right" w:leader="dot" w:pos="9350"/>
        </w:tabs>
        <w:rPr>
          <w:rFonts w:eastAsiaTheme="minorEastAsia"/>
          <w:noProof/>
        </w:rPr>
      </w:pPr>
      <w:hyperlink w:anchor="_Toc532165415" w:history="1">
        <w:r w:rsidRPr="004C1568">
          <w:rPr>
            <w:rStyle w:val="Hyperlink"/>
            <w:noProof/>
          </w:rPr>
          <w:t>Figure 13: growth of ENERGYSTAR buildings in New York City and Houston.</w:t>
        </w:r>
        <w:r>
          <w:rPr>
            <w:noProof/>
            <w:webHidden/>
          </w:rPr>
          <w:tab/>
        </w:r>
        <w:r>
          <w:rPr>
            <w:noProof/>
            <w:webHidden/>
          </w:rPr>
          <w:fldChar w:fldCharType="begin"/>
        </w:r>
        <w:r>
          <w:rPr>
            <w:noProof/>
            <w:webHidden/>
          </w:rPr>
          <w:instrText xml:space="preserve"> PAGEREF _Toc532165415 \h </w:instrText>
        </w:r>
        <w:r>
          <w:rPr>
            <w:noProof/>
            <w:webHidden/>
          </w:rPr>
        </w:r>
        <w:r>
          <w:rPr>
            <w:noProof/>
            <w:webHidden/>
          </w:rPr>
          <w:fldChar w:fldCharType="separate"/>
        </w:r>
        <w:r w:rsidR="00121B40">
          <w:rPr>
            <w:noProof/>
            <w:webHidden/>
          </w:rPr>
          <w:t>33</w:t>
        </w:r>
        <w:r>
          <w:rPr>
            <w:noProof/>
            <w:webHidden/>
          </w:rPr>
          <w:fldChar w:fldCharType="end"/>
        </w:r>
      </w:hyperlink>
    </w:p>
    <w:p w14:paraId="424F13A4" w14:textId="1EB08527" w:rsidR="00073A3B" w:rsidRDefault="00073A3B">
      <w:pPr>
        <w:pStyle w:val="TableofFigures"/>
        <w:tabs>
          <w:tab w:val="right" w:leader="dot" w:pos="9350"/>
        </w:tabs>
        <w:rPr>
          <w:rFonts w:eastAsiaTheme="minorEastAsia"/>
          <w:noProof/>
        </w:rPr>
      </w:pPr>
      <w:hyperlink w:anchor="_Toc532165416" w:history="1">
        <w:r w:rsidRPr="004C1568">
          <w:rPr>
            <w:rStyle w:val="Hyperlink"/>
            <w:noProof/>
          </w:rPr>
          <w:t>Figure 14: Research timeline of benchmarking ordinances impacts</w:t>
        </w:r>
        <w:r>
          <w:rPr>
            <w:noProof/>
            <w:webHidden/>
          </w:rPr>
          <w:tab/>
        </w:r>
        <w:r>
          <w:rPr>
            <w:noProof/>
            <w:webHidden/>
          </w:rPr>
          <w:fldChar w:fldCharType="begin"/>
        </w:r>
        <w:r>
          <w:rPr>
            <w:noProof/>
            <w:webHidden/>
          </w:rPr>
          <w:instrText xml:space="preserve"> PAGEREF _Toc532165416 \h </w:instrText>
        </w:r>
        <w:r>
          <w:rPr>
            <w:noProof/>
            <w:webHidden/>
          </w:rPr>
        </w:r>
        <w:r>
          <w:rPr>
            <w:noProof/>
            <w:webHidden/>
          </w:rPr>
          <w:fldChar w:fldCharType="separate"/>
        </w:r>
        <w:r w:rsidR="00121B40">
          <w:rPr>
            <w:noProof/>
            <w:webHidden/>
          </w:rPr>
          <w:t>34</w:t>
        </w:r>
        <w:r>
          <w:rPr>
            <w:noProof/>
            <w:webHidden/>
          </w:rPr>
          <w:fldChar w:fldCharType="end"/>
        </w:r>
      </w:hyperlink>
    </w:p>
    <w:p w14:paraId="630760BB" w14:textId="7194B486" w:rsidR="00CE5ACF" w:rsidRDefault="00CE5ACF" w:rsidP="00700FB8">
      <w:pPr>
        <w:rPr>
          <w:b/>
          <w:bCs/>
          <w:noProof/>
        </w:rPr>
      </w:pPr>
      <w:r>
        <w:rPr>
          <w:b/>
          <w:bCs/>
          <w:noProof/>
        </w:rPr>
        <w:fldChar w:fldCharType="end"/>
      </w:r>
    </w:p>
    <w:p w14:paraId="02115826" w14:textId="77777777" w:rsidR="00CE5ACF" w:rsidRDefault="00CE5ACF">
      <w:pPr>
        <w:rPr>
          <w:b/>
          <w:bCs/>
          <w:noProof/>
        </w:rPr>
      </w:pPr>
    </w:p>
    <w:p w14:paraId="6FD39873" w14:textId="11018328" w:rsidR="00CE5ACF" w:rsidRDefault="00CE5ACF">
      <w:pPr>
        <w:rPr>
          <w:b/>
          <w:bCs/>
          <w:noProof/>
        </w:rPr>
      </w:pPr>
      <w:r>
        <w:rPr>
          <w:b/>
          <w:bCs/>
          <w:noProof/>
        </w:rPr>
        <w:br w:type="page"/>
      </w:r>
    </w:p>
    <w:p w14:paraId="5DC8FBBE" w14:textId="36D4B75B" w:rsidR="00CE5ACF" w:rsidRPr="00CE5ACF" w:rsidRDefault="00CE5ACF">
      <w:pPr>
        <w:pStyle w:val="TableofFigures"/>
        <w:tabs>
          <w:tab w:val="right" w:leader="dot" w:pos="9350"/>
        </w:tabs>
        <w:rPr>
          <w:bCs/>
          <w:noProof/>
          <w:color w:val="1F497D" w:themeColor="text2"/>
          <w:sz w:val="28"/>
        </w:rPr>
      </w:pPr>
      <w:r>
        <w:rPr>
          <w:bCs/>
          <w:noProof/>
          <w:color w:val="1F497D" w:themeColor="text2"/>
          <w:sz w:val="28"/>
        </w:rPr>
        <w:lastRenderedPageBreak/>
        <w:t>Table of Tables</w:t>
      </w:r>
    </w:p>
    <w:p w14:paraId="7FF85C36" w14:textId="77777777" w:rsidR="00CE5ACF" w:rsidRDefault="00CE5ACF">
      <w:pPr>
        <w:pStyle w:val="TableofFigures"/>
        <w:tabs>
          <w:tab w:val="right" w:leader="dot" w:pos="9350"/>
        </w:tabs>
        <w:rPr>
          <w:b/>
          <w:bCs/>
          <w:noProof/>
        </w:rPr>
      </w:pPr>
    </w:p>
    <w:p w14:paraId="1F648BC9" w14:textId="5A8392A0" w:rsidR="00073A3B" w:rsidRDefault="00CE5ACF">
      <w:pPr>
        <w:pStyle w:val="TableofFigures"/>
        <w:tabs>
          <w:tab w:val="right" w:leader="dot" w:pos="9350"/>
        </w:tabs>
        <w:rPr>
          <w:rFonts w:eastAsiaTheme="minorEastAsia"/>
          <w:noProof/>
        </w:rPr>
      </w:pPr>
      <w:r>
        <w:rPr>
          <w:b/>
          <w:bCs/>
          <w:noProof/>
        </w:rPr>
        <w:fldChar w:fldCharType="begin"/>
      </w:r>
      <w:r>
        <w:rPr>
          <w:b/>
          <w:bCs/>
          <w:noProof/>
        </w:rPr>
        <w:instrText xml:space="preserve"> TOC \h \z \c "Table" </w:instrText>
      </w:r>
      <w:r>
        <w:rPr>
          <w:b/>
          <w:bCs/>
          <w:noProof/>
        </w:rPr>
        <w:fldChar w:fldCharType="separate"/>
      </w:r>
      <w:hyperlink w:anchor="_Toc532165386" w:history="1">
        <w:r w:rsidR="00073A3B" w:rsidRPr="00A11742">
          <w:rPr>
            <w:rStyle w:val="Hyperlink"/>
            <w:noProof/>
          </w:rPr>
          <w:t>Table 1: Landmark literature on value of benchmarking and transparency ordinance</w:t>
        </w:r>
        <w:r w:rsidR="00073A3B">
          <w:rPr>
            <w:noProof/>
            <w:webHidden/>
          </w:rPr>
          <w:tab/>
        </w:r>
        <w:r w:rsidR="00073A3B">
          <w:rPr>
            <w:noProof/>
            <w:webHidden/>
          </w:rPr>
          <w:fldChar w:fldCharType="begin"/>
        </w:r>
        <w:r w:rsidR="00073A3B">
          <w:rPr>
            <w:noProof/>
            <w:webHidden/>
          </w:rPr>
          <w:instrText xml:space="preserve"> PAGEREF _Toc532165386 \h </w:instrText>
        </w:r>
        <w:r w:rsidR="00073A3B">
          <w:rPr>
            <w:noProof/>
            <w:webHidden/>
          </w:rPr>
        </w:r>
        <w:r w:rsidR="00073A3B">
          <w:rPr>
            <w:noProof/>
            <w:webHidden/>
          </w:rPr>
          <w:fldChar w:fldCharType="separate"/>
        </w:r>
        <w:r w:rsidR="00121B40">
          <w:rPr>
            <w:noProof/>
            <w:webHidden/>
          </w:rPr>
          <w:t>15</w:t>
        </w:r>
        <w:r w:rsidR="00073A3B">
          <w:rPr>
            <w:noProof/>
            <w:webHidden/>
          </w:rPr>
          <w:fldChar w:fldCharType="end"/>
        </w:r>
      </w:hyperlink>
    </w:p>
    <w:p w14:paraId="6F536C64" w14:textId="12830CD1" w:rsidR="00073A3B" w:rsidRDefault="00073A3B">
      <w:pPr>
        <w:pStyle w:val="TableofFigures"/>
        <w:tabs>
          <w:tab w:val="right" w:leader="dot" w:pos="9350"/>
        </w:tabs>
        <w:rPr>
          <w:rFonts w:eastAsiaTheme="minorEastAsia"/>
          <w:noProof/>
        </w:rPr>
      </w:pPr>
      <w:hyperlink w:anchor="_Toc532165387" w:history="1">
        <w:r w:rsidRPr="00A11742">
          <w:rPr>
            <w:rStyle w:val="Hyperlink"/>
            <w:noProof/>
          </w:rPr>
          <w:t>Table 2: stakeholder groups that provided insight through interview, working group and meetings</w:t>
        </w:r>
        <w:r>
          <w:rPr>
            <w:noProof/>
            <w:webHidden/>
          </w:rPr>
          <w:tab/>
        </w:r>
        <w:r>
          <w:rPr>
            <w:noProof/>
            <w:webHidden/>
          </w:rPr>
          <w:fldChar w:fldCharType="begin"/>
        </w:r>
        <w:r>
          <w:rPr>
            <w:noProof/>
            <w:webHidden/>
          </w:rPr>
          <w:instrText xml:space="preserve"> PAGEREF _Toc532165387 \h </w:instrText>
        </w:r>
        <w:r>
          <w:rPr>
            <w:noProof/>
            <w:webHidden/>
          </w:rPr>
        </w:r>
        <w:r>
          <w:rPr>
            <w:noProof/>
            <w:webHidden/>
          </w:rPr>
          <w:fldChar w:fldCharType="separate"/>
        </w:r>
        <w:r w:rsidR="00121B40">
          <w:rPr>
            <w:noProof/>
            <w:webHidden/>
          </w:rPr>
          <w:t>18</w:t>
        </w:r>
        <w:r>
          <w:rPr>
            <w:noProof/>
            <w:webHidden/>
          </w:rPr>
          <w:fldChar w:fldCharType="end"/>
        </w:r>
      </w:hyperlink>
    </w:p>
    <w:p w14:paraId="6E723861" w14:textId="41C62500" w:rsidR="00073A3B" w:rsidRDefault="00073A3B">
      <w:pPr>
        <w:pStyle w:val="TableofFigures"/>
        <w:tabs>
          <w:tab w:val="right" w:leader="dot" w:pos="9350"/>
        </w:tabs>
        <w:rPr>
          <w:rFonts w:eastAsiaTheme="minorEastAsia"/>
          <w:noProof/>
        </w:rPr>
      </w:pPr>
      <w:hyperlink w:anchor="_Toc532165388" w:history="1">
        <w:r w:rsidRPr="00A11742">
          <w:rPr>
            <w:rStyle w:val="Hyperlink"/>
            <w:noProof/>
          </w:rPr>
          <w:t>Table 3: Main Stakeholders involved in the benchmarking policy design and implementation process</w:t>
        </w:r>
        <w:r>
          <w:rPr>
            <w:noProof/>
            <w:webHidden/>
          </w:rPr>
          <w:tab/>
        </w:r>
        <w:r>
          <w:rPr>
            <w:noProof/>
            <w:webHidden/>
          </w:rPr>
          <w:fldChar w:fldCharType="begin"/>
        </w:r>
        <w:r>
          <w:rPr>
            <w:noProof/>
            <w:webHidden/>
          </w:rPr>
          <w:instrText xml:space="preserve"> PAGEREF _Toc532165388 \h </w:instrText>
        </w:r>
        <w:r>
          <w:rPr>
            <w:noProof/>
            <w:webHidden/>
          </w:rPr>
        </w:r>
        <w:r>
          <w:rPr>
            <w:noProof/>
            <w:webHidden/>
          </w:rPr>
          <w:fldChar w:fldCharType="separate"/>
        </w:r>
        <w:r w:rsidR="00121B40">
          <w:rPr>
            <w:noProof/>
            <w:webHidden/>
          </w:rPr>
          <w:t>18</w:t>
        </w:r>
        <w:r>
          <w:rPr>
            <w:noProof/>
            <w:webHidden/>
          </w:rPr>
          <w:fldChar w:fldCharType="end"/>
        </w:r>
      </w:hyperlink>
    </w:p>
    <w:p w14:paraId="2EE9CB6A" w14:textId="60CC61F2" w:rsidR="00073A3B" w:rsidRDefault="00073A3B">
      <w:pPr>
        <w:pStyle w:val="TableofFigures"/>
        <w:tabs>
          <w:tab w:val="right" w:leader="dot" w:pos="9350"/>
        </w:tabs>
        <w:rPr>
          <w:rFonts w:eastAsiaTheme="minorEastAsia"/>
          <w:noProof/>
        </w:rPr>
      </w:pPr>
      <w:hyperlink w:anchor="_Toc532165389" w:history="1">
        <w:r w:rsidRPr="00A11742">
          <w:rPr>
            <w:rStyle w:val="Hyperlink"/>
            <w:noProof/>
          </w:rPr>
          <w:t>Table 4: Document produce through these interactions</w:t>
        </w:r>
        <w:r>
          <w:rPr>
            <w:noProof/>
            <w:webHidden/>
          </w:rPr>
          <w:tab/>
        </w:r>
        <w:r>
          <w:rPr>
            <w:noProof/>
            <w:webHidden/>
          </w:rPr>
          <w:fldChar w:fldCharType="begin"/>
        </w:r>
        <w:r>
          <w:rPr>
            <w:noProof/>
            <w:webHidden/>
          </w:rPr>
          <w:instrText xml:space="preserve"> PAGEREF _Toc532165389 \h </w:instrText>
        </w:r>
        <w:r>
          <w:rPr>
            <w:noProof/>
            <w:webHidden/>
          </w:rPr>
        </w:r>
        <w:r>
          <w:rPr>
            <w:noProof/>
            <w:webHidden/>
          </w:rPr>
          <w:fldChar w:fldCharType="separate"/>
        </w:r>
        <w:r w:rsidR="00121B40">
          <w:rPr>
            <w:noProof/>
            <w:webHidden/>
          </w:rPr>
          <w:t>23</w:t>
        </w:r>
        <w:r>
          <w:rPr>
            <w:noProof/>
            <w:webHidden/>
          </w:rPr>
          <w:fldChar w:fldCharType="end"/>
        </w:r>
      </w:hyperlink>
    </w:p>
    <w:p w14:paraId="5A2D63D1" w14:textId="0E217937" w:rsidR="00073A3B" w:rsidRDefault="00073A3B">
      <w:pPr>
        <w:pStyle w:val="TableofFigures"/>
        <w:tabs>
          <w:tab w:val="right" w:leader="dot" w:pos="9350"/>
        </w:tabs>
        <w:rPr>
          <w:rFonts w:eastAsiaTheme="minorEastAsia"/>
          <w:noProof/>
        </w:rPr>
      </w:pPr>
      <w:hyperlink w:anchor="_Toc532165390" w:history="1">
        <w:r w:rsidRPr="00A11742">
          <w:rPr>
            <w:rStyle w:val="Hyperlink"/>
            <w:noProof/>
          </w:rPr>
          <w:t>Table 5:  Participation in a urban network  of cities with benchmarking ordinances</w:t>
        </w:r>
        <w:r>
          <w:rPr>
            <w:noProof/>
            <w:webHidden/>
          </w:rPr>
          <w:tab/>
        </w:r>
        <w:r>
          <w:rPr>
            <w:noProof/>
            <w:webHidden/>
          </w:rPr>
          <w:fldChar w:fldCharType="begin"/>
        </w:r>
        <w:r>
          <w:rPr>
            <w:noProof/>
            <w:webHidden/>
          </w:rPr>
          <w:instrText xml:space="preserve"> PAGEREF _Toc532165390 \h </w:instrText>
        </w:r>
        <w:r>
          <w:rPr>
            <w:noProof/>
            <w:webHidden/>
          </w:rPr>
        </w:r>
        <w:r>
          <w:rPr>
            <w:noProof/>
            <w:webHidden/>
          </w:rPr>
          <w:fldChar w:fldCharType="separate"/>
        </w:r>
        <w:r w:rsidR="00121B40">
          <w:rPr>
            <w:noProof/>
            <w:webHidden/>
          </w:rPr>
          <w:t>26</w:t>
        </w:r>
        <w:r>
          <w:rPr>
            <w:noProof/>
            <w:webHidden/>
          </w:rPr>
          <w:fldChar w:fldCharType="end"/>
        </w:r>
      </w:hyperlink>
    </w:p>
    <w:p w14:paraId="1A5B3F9D" w14:textId="2122FEF0" w:rsidR="00073A3B" w:rsidRDefault="00073A3B">
      <w:pPr>
        <w:pStyle w:val="TableofFigures"/>
        <w:tabs>
          <w:tab w:val="right" w:leader="dot" w:pos="9350"/>
        </w:tabs>
        <w:rPr>
          <w:rFonts w:eastAsiaTheme="minorEastAsia"/>
          <w:noProof/>
        </w:rPr>
      </w:pPr>
      <w:hyperlink w:anchor="_Toc532165391" w:history="1">
        <w:r w:rsidRPr="00A11742">
          <w:rPr>
            <w:rStyle w:val="Hyperlink"/>
            <w:noProof/>
          </w:rPr>
          <w:t>Table 6: number of buildings and their average score per year since 2007 in ENERGYSTAR database</w:t>
        </w:r>
        <w:r>
          <w:rPr>
            <w:noProof/>
            <w:webHidden/>
          </w:rPr>
          <w:tab/>
        </w:r>
        <w:r>
          <w:rPr>
            <w:noProof/>
            <w:webHidden/>
          </w:rPr>
          <w:fldChar w:fldCharType="begin"/>
        </w:r>
        <w:r>
          <w:rPr>
            <w:noProof/>
            <w:webHidden/>
          </w:rPr>
          <w:instrText xml:space="preserve"> PAGEREF _Toc532165391 \h </w:instrText>
        </w:r>
        <w:r>
          <w:rPr>
            <w:noProof/>
            <w:webHidden/>
          </w:rPr>
        </w:r>
        <w:r>
          <w:rPr>
            <w:noProof/>
            <w:webHidden/>
          </w:rPr>
          <w:fldChar w:fldCharType="separate"/>
        </w:r>
        <w:r w:rsidR="00121B40">
          <w:rPr>
            <w:noProof/>
            <w:webHidden/>
          </w:rPr>
          <w:t>33</w:t>
        </w:r>
        <w:r>
          <w:rPr>
            <w:noProof/>
            <w:webHidden/>
          </w:rPr>
          <w:fldChar w:fldCharType="end"/>
        </w:r>
      </w:hyperlink>
    </w:p>
    <w:p w14:paraId="69968BD7" w14:textId="2D07CD87" w:rsidR="00CE5ACF" w:rsidRDefault="00CE5ACF" w:rsidP="00700FB8">
      <w:pPr>
        <w:rPr>
          <w:b/>
          <w:bCs/>
          <w:noProof/>
        </w:rPr>
      </w:pPr>
      <w:r>
        <w:rPr>
          <w:b/>
          <w:bCs/>
          <w:noProof/>
        </w:rPr>
        <w:fldChar w:fldCharType="end"/>
      </w:r>
    </w:p>
    <w:p w14:paraId="30285D08" w14:textId="77777777" w:rsidR="00CE5ACF" w:rsidRDefault="00CE5ACF">
      <w:pPr>
        <w:rPr>
          <w:b/>
          <w:bCs/>
          <w:noProof/>
        </w:rPr>
      </w:pPr>
      <w:r>
        <w:rPr>
          <w:b/>
          <w:bCs/>
          <w:noProof/>
        </w:rPr>
        <w:br w:type="page"/>
      </w:r>
    </w:p>
    <w:p w14:paraId="182F1540" w14:textId="77777777" w:rsidR="00CE5ACF" w:rsidRDefault="00CE5ACF" w:rsidP="00700FB8">
      <w:pPr>
        <w:rPr>
          <w:b/>
          <w:bCs/>
          <w:noProof/>
        </w:rPr>
      </w:pPr>
    </w:p>
    <w:p w14:paraId="3BE54925" w14:textId="7A1656F6" w:rsidR="0063498A" w:rsidRDefault="0063498A" w:rsidP="00700FB8">
      <w:pPr>
        <w:pStyle w:val="Heading1"/>
      </w:pPr>
      <w:bookmarkStart w:id="0" w:name="_Toc532200738"/>
      <w:r>
        <w:t>Abstract</w:t>
      </w:r>
      <w:bookmarkEnd w:id="0"/>
    </w:p>
    <w:p w14:paraId="6633DBD1" w14:textId="77777777" w:rsidR="0063498A" w:rsidRDefault="0063498A"/>
    <w:p w14:paraId="69A5B740" w14:textId="77777777" w:rsidR="001E4819" w:rsidRDefault="001E4819" w:rsidP="001E4819">
      <w:pPr>
        <w:pStyle w:val="NormalWeb"/>
        <w:spacing w:before="0" w:beforeAutospacing="0" w:after="0" w:afterAutospacing="0"/>
      </w:pPr>
    </w:p>
    <w:p w14:paraId="1573F0AA" w14:textId="77777777" w:rsidR="001E4819" w:rsidRPr="001E4819" w:rsidRDefault="001E4819" w:rsidP="001E4819">
      <w:pPr>
        <w:pStyle w:val="NormalWeb"/>
        <w:spacing w:before="0" w:beforeAutospacing="0" w:after="0" w:afterAutospacing="0"/>
        <w:rPr>
          <w:rFonts w:asciiTheme="minorHAnsi" w:hAnsiTheme="minorHAnsi" w:cstheme="minorHAnsi"/>
        </w:rPr>
      </w:pPr>
      <w:r w:rsidRPr="001E4819">
        <w:rPr>
          <w:rFonts w:asciiTheme="minorHAnsi" w:hAnsiTheme="minorHAnsi" w:cstheme="minorHAnsi"/>
          <w:color w:val="000000"/>
          <w:sz w:val="22"/>
          <w:szCs w:val="22"/>
        </w:rPr>
        <w:t xml:space="preserve">In the past decade, US Cities have been taking an increasingly important role in addressing climate change. This commitment often takes the form of a climate action plan. These climate action plans vary in their level of details of implementation, however they all set aggressive targets for carbon emission reduction at the local level by 2030 or 2050, through changes in energy,  transportation,  food and waste management.  This research evaluates the effectiveness of benchmarking </w:t>
      </w:r>
      <w:proofErr w:type="gramStart"/>
      <w:r w:rsidRPr="001E4819">
        <w:rPr>
          <w:rFonts w:asciiTheme="minorHAnsi" w:hAnsiTheme="minorHAnsi" w:cstheme="minorHAnsi"/>
          <w:color w:val="000000"/>
          <w:sz w:val="22"/>
          <w:szCs w:val="22"/>
        </w:rPr>
        <w:t>ordinances  in</w:t>
      </w:r>
      <w:proofErr w:type="gramEnd"/>
      <w:r w:rsidRPr="001E4819">
        <w:rPr>
          <w:rFonts w:asciiTheme="minorHAnsi" w:hAnsiTheme="minorHAnsi" w:cstheme="minorHAnsi"/>
          <w:color w:val="000000"/>
          <w:sz w:val="22"/>
          <w:szCs w:val="22"/>
        </w:rPr>
        <w:t xml:space="preserve"> 26 US cities and their ability to meet the recommendations the International Panel of Climate Change (IPCC) .</w:t>
      </w:r>
    </w:p>
    <w:p w14:paraId="1BE45824" w14:textId="77777777" w:rsidR="001E4819" w:rsidRPr="001E4819" w:rsidRDefault="001E4819" w:rsidP="001E4819">
      <w:pPr>
        <w:rPr>
          <w:rFonts w:cstheme="minorHAnsi"/>
        </w:rPr>
      </w:pPr>
    </w:p>
    <w:p w14:paraId="22162144" w14:textId="77777777" w:rsidR="001E4819" w:rsidRPr="001E4819" w:rsidRDefault="001E4819" w:rsidP="001E4819">
      <w:pPr>
        <w:pStyle w:val="NormalWeb"/>
        <w:spacing w:before="0" w:beforeAutospacing="0" w:after="0" w:afterAutospacing="0"/>
        <w:rPr>
          <w:rFonts w:asciiTheme="minorHAnsi" w:hAnsiTheme="minorHAnsi" w:cstheme="minorHAnsi"/>
        </w:rPr>
      </w:pPr>
      <w:r w:rsidRPr="001E4819">
        <w:rPr>
          <w:rFonts w:asciiTheme="minorHAnsi" w:hAnsiTheme="minorHAnsi" w:cstheme="minorHAnsi"/>
          <w:color w:val="000000"/>
          <w:sz w:val="22"/>
          <w:szCs w:val="22"/>
        </w:rPr>
        <w:t>The urban building stock has an active role to play in preventing global warming as buildings use 40% of the US total energy and are responsible for the vast majority of carbon emissions, reaching 70% in New York City and  80% in Pittsburgh, PA (EIA 2012a) (City of New York 2018) (City of Pittsburgh 2018). Implementing building efficiency retrofit and design solutions is a major step to reduce carbon emissions and have a significant impact.</w:t>
      </w:r>
    </w:p>
    <w:p w14:paraId="4606EC6B" w14:textId="77777777" w:rsidR="001E4819" w:rsidRPr="001E4819" w:rsidRDefault="001E4819" w:rsidP="001E4819">
      <w:pPr>
        <w:rPr>
          <w:rFonts w:cstheme="minorHAnsi"/>
        </w:rPr>
      </w:pPr>
    </w:p>
    <w:p w14:paraId="12A89FFD" w14:textId="77777777" w:rsidR="001E4819" w:rsidRPr="001E4819" w:rsidRDefault="001E4819" w:rsidP="001E4819">
      <w:pPr>
        <w:pStyle w:val="NormalWeb"/>
        <w:spacing w:before="0" w:beforeAutospacing="0" w:after="0" w:afterAutospacing="0"/>
        <w:rPr>
          <w:rFonts w:asciiTheme="minorHAnsi" w:hAnsiTheme="minorHAnsi" w:cstheme="minorHAnsi"/>
        </w:rPr>
      </w:pPr>
      <w:r w:rsidRPr="001E4819">
        <w:rPr>
          <w:rFonts w:asciiTheme="minorHAnsi" w:hAnsiTheme="minorHAnsi" w:cstheme="minorHAnsi"/>
          <w:color w:val="000000"/>
          <w:sz w:val="22"/>
          <w:szCs w:val="22"/>
        </w:rPr>
        <w:t xml:space="preserve">To evaluate the effectiveness of benchmarking and transparency ordinances, the research hypotheses that benchmarking ordinances increase communication among stakeholders, lead to more energy efficiency initiatives and programs, and facilitate reduced energy consumption </w:t>
      </w:r>
      <w:proofErr w:type="gramStart"/>
      <w:r w:rsidRPr="001E4819">
        <w:rPr>
          <w:rFonts w:asciiTheme="minorHAnsi" w:hAnsiTheme="minorHAnsi" w:cstheme="minorHAnsi"/>
          <w:color w:val="000000"/>
          <w:sz w:val="22"/>
          <w:szCs w:val="22"/>
        </w:rPr>
        <w:t>in  in</w:t>
      </w:r>
      <w:proofErr w:type="gramEnd"/>
      <w:r w:rsidRPr="001E4819">
        <w:rPr>
          <w:rFonts w:asciiTheme="minorHAnsi" w:hAnsiTheme="minorHAnsi" w:cstheme="minorHAnsi"/>
          <w:color w:val="000000"/>
          <w:sz w:val="22"/>
          <w:szCs w:val="22"/>
        </w:rPr>
        <w:t xml:space="preserve"> commercial buildings. </w:t>
      </w:r>
    </w:p>
    <w:p w14:paraId="6A0E5B97" w14:textId="77777777" w:rsidR="001E4819" w:rsidRPr="001E4819" w:rsidRDefault="001E4819" w:rsidP="001E4819">
      <w:pPr>
        <w:rPr>
          <w:rFonts w:cstheme="minorHAnsi"/>
        </w:rPr>
      </w:pPr>
    </w:p>
    <w:p w14:paraId="43DC8FEA" w14:textId="77777777" w:rsidR="001E4819" w:rsidRPr="001E4819" w:rsidRDefault="001E4819" w:rsidP="001E4819">
      <w:pPr>
        <w:pStyle w:val="NormalWeb"/>
        <w:spacing w:before="0" w:beforeAutospacing="0" w:after="0" w:afterAutospacing="0"/>
        <w:rPr>
          <w:rFonts w:asciiTheme="minorHAnsi" w:hAnsiTheme="minorHAnsi" w:cstheme="minorHAnsi"/>
        </w:rPr>
      </w:pPr>
      <w:r w:rsidRPr="001E4819">
        <w:rPr>
          <w:rFonts w:asciiTheme="minorHAnsi" w:hAnsiTheme="minorHAnsi" w:cstheme="minorHAnsi"/>
          <w:color w:val="000000"/>
          <w:sz w:val="22"/>
          <w:szCs w:val="22"/>
        </w:rPr>
        <w:t xml:space="preserve">The methodology comprises interviews with over 60 stakeholder groups including, federal agencies, local governments, </w:t>
      </w:r>
      <w:proofErr w:type="spellStart"/>
      <w:r w:rsidRPr="001E4819">
        <w:rPr>
          <w:rFonts w:asciiTheme="minorHAnsi" w:hAnsiTheme="minorHAnsi" w:cstheme="minorHAnsi"/>
          <w:color w:val="000000"/>
          <w:sz w:val="22"/>
          <w:szCs w:val="22"/>
        </w:rPr>
        <w:t>non profits</w:t>
      </w:r>
      <w:proofErr w:type="spellEnd"/>
      <w:r w:rsidRPr="001E4819">
        <w:rPr>
          <w:rFonts w:asciiTheme="minorHAnsi" w:hAnsiTheme="minorHAnsi" w:cstheme="minorHAnsi"/>
          <w:color w:val="000000"/>
          <w:sz w:val="22"/>
          <w:szCs w:val="22"/>
        </w:rPr>
        <w:t xml:space="preserve"> organizations, and utility companies;  the creation and the statistical analysis of a </w:t>
      </w:r>
      <w:proofErr w:type="spellStart"/>
      <w:r w:rsidRPr="001E4819">
        <w:rPr>
          <w:rFonts w:asciiTheme="minorHAnsi" w:hAnsiTheme="minorHAnsi" w:cstheme="minorHAnsi"/>
          <w:color w:val="000000"/>
          <w:sz w:val="22"/>
          <w:szCs w:val="22"/>
        </w:rPr>
        <w:t>wholistic</w:t>
      </w:r>
      <w:proofErr w:type="spellEnd"/>
      <w:r w:rsidRPr="001E4819">
        <w:rPr>
          <w:rFonts w:asciiTheme="minorHAnsi" w:hAnsiTheme="minorHAnsi" w:cstheme="minorHAnsi"/>
          <w:color w:val="000000"/>
          <w:sz w:val="22"/>
          <w:szCs w:val="22"/>
        </w:rPr>
        <w:t xml:space="preserve"> data set on local energy efficiency initiatives -including policies, voluntary programs, and networks-; and quantification of energy consumption changes that </w:t>
      </w:r>
      <w:proofErr w:type="spellStart"/>
      <w:r w:rsidRPr="001E4819">
        <w:rPr>
          <w:rFonts w:asciiTheme="minorHAnsi" w:hAnsiTheme="minorHAnsi" w:cstheme="minorHAnsi"/>
          <w:color w:val="000000"/>
          <w:sz w:val="22"/>
          <w:szCs w:val="22"/>
        </w:rPr>
        <w:t>occured</w:t>
      </w:r>
      <w:proofErr w:type="spellEnd"/>
      <w:r w:rsidRPr="001E4819">
        <w:rPr>
          <w:rFonts w:asciiTheme="minorHAnsi" w:hAnsiTheme="minorHAnsi" w:cstheme="minorHAnsi"/>
          <w:color w:val="000000"/>
          <w:sz w:val="22"/>
          <w:szCs w:val="22"/>
        </w:rPr>
        <w:t xml:space="preserve"> after the establishment of benchmarking and transparency ordinances. </w:t>
      </w:r>
    </w:p>
    <w:p w14:paraId="7F89D899" w14:textId="77777777" w:rsidR="001E4819" w:rsidRPr="001E4819" w:rsidRDefault="001E4819" w:rsidP="001E4819">
      <w:pPr>
        <w:rPr>
          <w:rFonts w:cstheme="minorHAnsi"/>
        </w:rPr>
      </w:pPr>
    </w:p>
    <w:p w14:paraId="6647688E" w14:textId="77777777" w:rsidR="001E4819" w:rsidRPr="001E4819" w:rsidRDefault="001E4819" w:rsidP="001E4819">
      <w:pPr>
        <w:pStyle w:val="NormalWeb"/>
        <w:spacing w:before="0" w:beforeAutospacing="0" w:after="0" w:afterAutospacing="0"/>
        <w:rPr>
          <w:rFonts w:asciiTheme="minorHAnsi" w:hAnsiTheme="minorHAnsi" w:cstheme="minorHAnsi"/>
        </w:rPr>
      </w:pPr>
      <w:r w:rsidRPr="001E4819">
        <w:rPr>
          <w:rFonts w:asciiTheme="minorHAnsi" w:hAnsiTheme="minorHAnsi" w:cstheme="minorHAnsi"/>
          <w:color w:val="000000"/>
          <w:sz w:val="22"/>
          <w:szCs w:val="22"/>
        </w:rPr>
        <w:t>The findings of this research will establish quantified benefits that cities with existing benchmarking and transparency ordinances can utilize to justify their climate action plan. Additionally, it creates a roadmap for meeting climate action and energy efficiency goals for cities considering benchmarking and transparency ordinances.</w:t>
      </w:r>
    </w:p>
    <w:p w14:paraId="3ECFA686" w14:textId="77777777" w:rsidR="001A4759" w:rsidRPr="001E4819" w:rsidRDefault="001A4759" w:rsidP="001E4819">
      <w:pPr>
        <w:rPr>
          <w:rFonts w:cstheme="minorHAnsi"/>
        </w:rPr>
      </w:pPr>
      <w:r w:rsidRPr="001E4819">
        <w:rPr>
          <w:rFonts w:cstheme="minorHAnsi"/>
        </w:rPr>
        <w:br w:type="page"/>
      </w:r>
    </w:p>
    <w:p w14:paraId="3F343002" w14:textId="17E933A3" w:rsidR="0063498A" w:rsidRDefault="001A4759" w:rsidP="001A4759">
      <w:pPr>
        <w:pStyle w:val="Heading1"/>
      </w:pPr>
      <w:bookmarkStart w:id="1" w:name="_Toc532200739"/>
      <w:r>
        <w:lastRenderedPageBreak/>
        <w:t>Intro</w:t>
      </w:r>
      <w:r w:rsidR="004B7262">
        <w:t>duction</w:t>
      </w:r>
      <w:bookmarkEnd w:id="1"/>
    </w:p>
    <w:p w14:paraId="4F374B35" w14:textId="174CFE7B" w:rsidR="00F429F9" w:rsidRDefault="00F429F9" w:rsidP="00F429F9"/>
    <w:p w14:paraId="7FCB806F" w14:textId="7E1A725B" w:rsidR="00F429F9" w:rsidRDefault="00A21D55" w:rsidP="00F429F9">
      <w:r>
        <w:t>B</w:t>
      </w:r>
      <w:r w:rsidR="00CE5ACF">
        <w:t>uilding scientists</w:t>
      </w:r>
      <w:r w:rsidR="00461074">
        <w:t xml:space="preserve"> know</w:t>
      </w:r>
      <w:r w:rsidR="00F429F9">
        <w:t xml:space="preserve"> that buildings use  40% of the energy </w:t>
      </w:r>
      <w:r w:rsidR="00584880">
        <w:t>in the US</w:t>
      </w:r>
      <w:r w:rsidR="00CE5ACF">
        <w:t xml:space="preserve"> </w:t>
      </w:r>
      <w:r w:rsidR="00C027C2">
        <w:fldChar w:fldCharType="begin"/>
      </w:r>
      <w:r w:rsidR="00C027C2">
        <w:instrText xml:space="preserve"> ADDIN ZOTERO_ITEM CSL_CITATION {"citationID":"gD0OeHZF","properties":{"formattedCitation":"(EIA 2018)","plainCitation":"(EIA 2018)","noteIndex":0},"citationItems":[{"id":1431,"uris":["http://zotero.org/users/1410454/items/VAIZTAIA"],"uri":["http://zotero.org/users/1410454/items/VAIZTAIA"],"itemData":{"id":1431,"type":"webpage","title":"How much energy is consumed in U.S. residential and commercial buildings? - FAQ - U.S. Energy Information Administration (EIA)","URL":"https://www.eia.gov/tools/faqs/faq.php?id=86&amp;t=1","author":[{"family":"EIA","given":""}],"issued":{"date-parts":[["2018"]]},"accessed":{"date-parts":[["2018",12,5]]}}}],"schema":"https://github.com/citation-style-language/schema/raw/master/csl-citation.json"} </w:instrText>
      </w:r>
      <w:r w:rsidR="00C027C2">
        <w:fldChar w:fldCharType="separate"/>
      </w:r>
      <w:r w:rsidR="00C027C2" w:rsidRPr="00C027C2">
        <w:rPr>
          <w:rFonts w:ascii="Calibri" w:hAnsi="Calibri" w:cs="Calibri"/>
        </w:rPr>
        <w:t>(EIA 2018)</w:t>
      </w:r>
      <w:r w:rsidR="00C027C2">
        <w:fldChar w:fldCharType="end"/>
      </w:r>
      <w:r w:rsidR="00584880">
        <w:t>. There are many research efforts in material improvements, design solutions and advance</w:t>
      </w:r>
      <w:r w:rsidR="00C027C2">
        <w:t>d</w:t>
      </w:r>
      <w:r w:rsidR="00584880">
        <w:t xml:space="preserve"> technical solutions to improve buildings, but the market penetrations of new solution</w:t>
      </w:r>
      <w:r w:rsidR="00C027C2">
        <w:t>s remains slow</w:t>
      </w:r>
      <w:r w:rsidR="00CE5ACF">
        <w:t xml:space="preserve"> and most buildings are still ra</w:t>
      </w:r>
      <w:r w:rsidR="00584880">
        <w:t>n inefficiently and without control systems</w:t>
      </w:r>
      <w:r w:rsidR="00461074">
        <w:t xml:space="preserve"> </w:t>
      </w:r>
      <w:r w:rsidR="00461074">
        <w:fldChar w:fldCharType="begin"/>
      </w:r>
      <w:r w:rsidR="00B42E59">
        <w:instrText xml:space="preserve"> ADDIN ZOTERO_ITEM CSL_CITATION {"citationID":"9BlUFNaA","properties":{"formattedCitation":"(EPA 2012)","plainCitation":"(EPA 2012)","noteIndex":0},"citationItems":[{"id":743,"uris":["http://zotero.org/users/1410454/items/FZUTX4EB"],"uri":["http://zotero.org/users/1410454/items/FZUTX4EB"],"itemData":{"id":743,"type":"report","title":"Benchmarking and Energy Savings","collection-title":"Portfolio Manager  Data Trend","publisher":"Environmental Protection Agency","author":[{"literal":"EPA"}],"issued":{"date-parts":[["2012"]]}}}],"schema":"https://github.com/citation-style-language/schema/raw/master/csl-citation.json"} </w:instrText>
      </w:r>
      <w:r w:rsidR="00461074">
        <w:fldChar w:fldCharType="separate"/>
      </w:r>
      <w:r w:rsidR="00B42E59" w:rsidRPr="00B42E59">
        <w:rPr>
          <w:rFonts w:ascii="Calibri" w:hAnsi="Calibri" w:cs="Calibri"/>
        </w:rPr>
        <w:t>(EPA 2012)</w:t>
      </w:r>
      <w:r w:rsidR="00461074">
        <w:fldChar w:fldCharType="end"/>
      </w:r>
      <w:r w:rsidR="00584880">
        <w:t>. In the late 2000’s ,</w:t>
      </w:r>
      <w:r w:rsidR="00B42E59">
        <w:t xml:space="preserve"> several</w:t>
      </w:r>
      <w:r w:rsidR="00584880">
        <w:t xml:space="preserve"> US municipal governments decided to spark interest </w:t>
      </w:r>
      <w:r w:rsidR="00C027C2">
        <w:t>and trigger investment in</w:t>
      </w:r>
      <w:r w:rsidR="00584880">
        <w:t xml:space="preserve"> low performing buildings by mandating large buildings to share their energy use</w:t>
      </w:r>
      <w:r w:rsidR="00C027C2">
        <w:t xml:space="preserve"> publicly</w:t>
      </w:r>
      <w:r w:rsidR="00584880">
        <w:t>. The theory, based on other market transformation efforts, was that this transparency would lead to more accountability and market awareness which in turn would entice investment in energy efficiency</w:t>
      </w:r>
      <w:r w:rsidR="00B42E59">
        <w:t xml:space="preserve"> </w:t>
      </w:r>
      <w:r w:rsidR="00C027C2">
        <w:fldChar w:fldCharType="begin"/>
      </w:r>
      <w:r w:rsidR="00C027C2">
        <w:instrText xml:space="preserve"> ADDIN ZOTERO_ITEM CSL_CITATION {"citationID":"z1tJsqiy","properties":{"formattedCitation":"(Burr 2012)","plainCitation":"(Burr 2012)","noteIndex":0},"citationItems":[{"id":859,"uris":["http://zotero.org/users/1410454/items/MVHVK5KS"],"uri":["http://zotero.org/users/1410454/items/MVHVK5KS"],"itemData":{"id":859,"type":"report","title":"Energy DisclosureThe New  Frontier For  American Jobs","publisher":"Institute for Market Transformation","author":[{"family":"Burr","given":"Andrew"}],"issued":{"date-parts":[["2012"]]}}}],"schema":"https://github.com/citation-style-language/schema/raw/master/csl-citation.json"} </w:instrText>
      </w:r>
      <w:r w:rsidR="00C027C2">
        <w:fldChar w:fldCharType="separate"/>
      </w:r>
      <w:r w:rsidR="00C027C2" w:rsidRPr="00C027C2">
        <w:rPr>
          <w:rFonts w:ascii="Calibri" w:hAnsi="Calibri" w:cs="Calibri"/>
        </w:rPr>
        <w:t>(Burr 2012)</w:t>
      </w:r>
      <w:r w:rsidR="00C027C2">
        <w:fldChar w:fldCharType="end"/>
      </w:r>
      <w:r w:rsidR="00584880">
        <w:t xml:space="preserve">. </w:t>
      </w:r>
    </w:p>
    <w:p w14:paraId="1EF3B882" w14:textId="238C0595" w:rsidR="001C63FB" w:rsidRDefault="00584880" w:rsidP="001C63FB">
      <w:r>
        <w:t>The first cities to implement this concept discovered that energy data access wa</w:t>
      </w:r>
      <w:r w:rsidR="00B42E59">
        <w:t>s very challenging as the existing</w:t>
      </w:r>
      <w:r>
        <w:t xml:space="preserve"> utility </w:t>
      </w:r>
      <w:r w:rsidR="00C027C2">
        <w:t xml:space="preserve"> data management </w:t>
      </w:r>
      <w:r>
        <w:t>system</w:t>
      </w:r>
      <w:r w:rsidR="00C027C2">
        <w:t>s were</w:t>
      </w:r>
      <w:r>
        <w:t xml:space="preserve"> not design to provide whole-bui</w:t>
      </w:r>
      <w:r w:rsidR="00C027C2">
        <w:t>lding data access. This barrier</w:t>
      </w:r>
      <w:r>
        <w:t xml:space="preserve"> </w:t>
      </w:r>
      <w:r w:rsidR="001C63FB">
        <w:t>necessitated numerous interactions among local stakeholders</w:t>
      </w:r>
      <w:r w:rsidR="00C027C2">
        <w:t xml:space="preserve"> to identify and design adequate solutions</w:t>
      </w:r>
      <w:r w:rsidR="001C63FB">
        <w:t>.</w:t>
      </w:r>
      <w:r w:rsidR="00B42E59">
        <w:t xml:space="preserve"> </w:t>
      </w:r>
      <w:r w:rsidR="001C63FB">
        <w:t xml:space="preserve">The volume of work and the avoidable pitfalls led </w:t>
      </w:r>
      <w:r w:rsidR="00CE5ACF">
        <w:t>pioneering</w:t>
      </w:r>
      <w:r w:rsidR="001C63FB">
        <w:t xml:space="preserve"> cities to share their lesson</w:t>
      </w:r>
      <w:r w:rsidR="00C027C2">
        <w:t>s</w:t>
      </w:r>
      <w:r w:rsidR="001C63FB">
        <w:t xml:space="preserve"> learned abundantly with others interested in the process through organized networks a</w:t>
      </w:r>
      <w:r w:rsidR="00B42E59">
        <w:t>nd working groups in a manner rarely</w:t>
      </w:r>
      <w:r w:rsidR="001C63FB">
        <w:t xml:space="preserve"> seen before.</w:t>
      </w:r>
    </w:p>
    <w:p w14:paraId="6BBDF27C" w14:textId="2ED5E10B" w:rsidR="001C63FB" w:rsidRDefault="001C63FB" w:rsidP="001C63FB">
      <w:r>
        <w:t>This research will first highlights the intricacies of the implementati</w:t>
      </w:r>
      <w:r w:rsidR="002A3DB7">
        <w:t xml:space="preserve">ons of benchmarking </w:t>
      </w:r>
      <w:proofErr w:type="gramStart"/>
      <w:r w:rsidR="002A3DB7">
        <w:t xml:space="preserve">ordinances </w:t>
      </w:r>
      <w:r>
        <w:t>and how they created a high volume of</w:t>
      </w:r>
      <w:r w:rsidR="00C027C2">
        <w:t xml:space="preserve"> new</w:t>
      </w:r>
      <w:r>
        <w:t xml:space="preserve"> interactions among stakeholder</w:t>
      </w:r>
      <w:r w:rsidR="00B42E59">
        <w:t>s at different scales</w:t>
      </w:r>
      <w:proofErr w:type="gramEnd"/>
      <w:r>
        <w:t xml:space="preserve">. Then the correlation between this increased knowledge transfer and the momentum </w:t>
      </w:r>
      <w:r w:rsidR="00C027C2">
        <w:t xml:space="preserve">toward sustainability </w:t>
      </w:r>
      <w:r w:rsidR="00B42E59">
        <w:t xml:space="preserve">and energy efficiency </w:t>
      </w:r>
      <w:r w:rsidR="00C027C2">
        <w:t>effort</w:t>
      </w:r>
      <w:r w:rsidR="00B42E59">
        <w:t>s</w:t>
      </w:r>
      <w:r w:rsidR="00C027C2">
        <w:t xml:space="preserve"> </w:t>
      </w:r>
      <w:proofErr w:type="gramStart"/>
      <w:r w:rsidR="00C027C2">
        <w:t>will</w:t>
      </w:r>
      <w:r>
        <w:t xml:space="preserve"> be </w:t>
      </w:r>
      <w:r w:rsidR="00C027C2">
        <w:t>evaluat</w:t>
      </w:r>
      <w:r>
        <w:t>ed</w:t>
      </w:r>
      <w:proofErr w:type="gramEnd"/>
      <w:r>
        <w:t xml:space="preserve">. </w:t>
      </w:r>
    </w:p>
    <w:p w14:paraId="0A93A1CC" w14:textId="3AC10342" w:rsidR="001C63FB" w:rsidRDefault="001C63FB" w:rsidP="001C63FB">
      <w:r>
        <w:t xml:space="preserve">Finally, the benefits of benchmarking ordinances with regard to energy efficiency improvements </w:t>
      </w:r>
      <w:proofErr w:type="gramStart"/>
      <w:r>
        <w:t>will be evaluated</w:t>
      </w:r>
      <w:proofErr w:type="gramEnd"/>
      <w:r>
        <w:t xml:space="preserve"> by comparing for the first time, the change in ENERGYSTAR score, in cit</w:t>
      </w:r>
      <w:r w:rsidR="00B42E59">
        <w:t>i</w:t>
      </w:r>
      <w:r>
        <w:t>es with benchmarking ordinances before and after the first deadline of the ordinances</w:t>
      </w:r>
      <w:r w:rsidR="00215F69">
        <w:t xml:space="preserve"> as well as compared to a control group without a</w:t>
      </w:r>
      <w:r>
        <w:t xml:space="preserve"> benchmarking </w:t>
      </w:r>
      <w:r w:rsidR="00215F69">
        <w:t>mandate.</w:t>
      </w:r>
    </w:p>
    <w:p w14:paraId="0423C80B" w14:textId="006F8CB1" w:rsidR="00CE5ACF" w:rsidRDefault="00CE5ACF">
      <w:r>
        <w:br w:type="page"/>
      </w:r>
    </w:p>
    <w:p w14:paraId="69DA02C1" w14:textId="13468C93" w:rsidR="001A4759" w:rsidRDefault="00C027C2" w:rsidP="001A4759">
      <w:pPr>
        <w:pStyle w:val="Heading1"/>
      </w:pPr>
      <w:bookmarkStart w:id="2" w:name="_Toc532200740"/>
      <w:r>
        <w:lastRenderedPageBreak/>
        <w:t>Context</w:t>
      </w:r>
      <w:bookmarkEnd w:id="2"/>
      <w:r w:rsidR="00215F69">
        <w:t xml:space="preserve"> </w:t>
      </w:r>
    </w:p>
    <w:p w14:paraId="6BA8A770" w14:textId="77777777" w:rsidR="001A4759" w:rsidRDefault="001A4759" w:rsidP="001A4759"/>
    <w:p w14:paraId="402C6128" w14:textId="77777777" w:rsidR="001A4759" w:rsidRDefault="001A4759" w:rsidP="001A4759">
      <w:pPr>
        <w:pStyle w:val="Heading2"/>
      </w:pPr>
      <w:bookmarkStart w:id="3" w:name="_Toc532200741"/>
      <w:r>
        <w:t>Buildings and wasted energy</w:t>
      </w:r>
      <w:bookmarkEnd w:id="3"/>
      <w:r>
        <w:t xml:space="preserve"> </w:t>
      </w:r>
    </w:p>
    <w:p w14:paraId="7DE738FB" w14:textId="5C53619D" w:rsidR="00C027C2" w:rsidRDefault="005E0F68" w:rsidP="00C027C2">
      <w:r>
        <w:t xml:space="preserve">In 1990, </w:t>
      </w:r>
      <w:r w:rsidR="00C027C2">
        <w:t>t</w:t>
      </w:r>
      <w:r>
        <w:t>he IPCC establish</w:t>
      </w:r>
      <w:r w:rsidR="0071286C">
        <w:t>ed</w:t>
      </w:r>
      <w:r>
        <w:t xml:space="preserve"> internationally in </w:t>
      </w:r>
      <w:r w:rsidR="00C027C2">
        <w:t>its first report that r</w:t>
      </w:r>
      <w:r>
        <w:t xml:space="preserve">eduction of energy </w:t>
      </w:r>
      <w:r w:rsidR="00A21D55">
        <w:t xml:space="preserve">use </w:t>
      </w:r>
      <w:r>
        <w:t xml:space="preserve">in existing commercial buildings </w:t>
      </w:r>
      <w:proofErr w:type="gramStart"/>
      <w:r>
        <w:t xml:space="preserve">was </w:t>
      </w:r>
      <w:r w:rsidR="00FB2F0F">
        <w:t>needed</w:t>
      </w:r>
      <w:proofErr w:type="gramEnd"/>
      <w:r w:rsidR="00FB2F0F">
        <w:t xml:space="preserve"> to reduce carbon emission. The report also states that a 50% reduction was </w:t>
      </w:r>
      <w:r>
        <w:t>technically feasible</w:t>
      </w:r>
      <w:r w:rsidR="00FB2F0F">
        <w:t xml:space="preserve"> with existing technologies in 1990</w:t>
      </w:r>
      <w:r>
        <w:t xml:space="preserve">. However it would require involvement of governments, institutions and consumers to achieve the needed market level penetration to </w:t>
      </w:r>
      <w:r w:rsidR="002A3DB7">
        <w:t>prevent</w:t>
      </w:r>
      <w:r>
        <w:t xml:space="preserve"> climate change</w:t>
      </w:r>
      <w:r w:rsidR="003654BD">
        <w:t xml:space="preserve"> (IPCC</w:t>
      </w:r>
      <w:proofErr w:type="gramStart"/>
      <w:r w:rsidR="003654BD">
        <w:t>,1990</w:t>
      </w:r>
      <w:proofErr w:type="gramEnd"/>
      <w:r w:rsidR="003654BD">
        <w:t>)</w:t>
      </w:r>
      <w:r>
        <w:t>.</w:t>
      </w:r>
    </w:p>
    <w:p w14:paraId="7488F383" w14:textId="3494C63F" w:rsidR="005E0F68" w:rsidRPr="00244453" w:rsidRDefault="00FB2F0F" w:rsidP="00244453">
      <w:r>
        <w:t>Shortly after, t</w:t>
      </w:r>
      <w:r w:rsidR="005E0F68">
        <w:t xml:space="preserve">he </w:t>
      </w:r>
      <w:r w:rsidR="002A3DB7">
        <w:t xml:space="preserve">U.S. </w:t>
      </w:r>
      <w:r w:rsidR="005E0F68">
        <w:t>Environmental Protection Agen</w:t>
      </w:r>
      <w:r>
        <w:t>cy</w:t>
      </w:r>
      <w:r w:rsidR="002A3DB7">
        <w:t xml:space="preserve"> </w:t>
      </w:r>
      <w:r>
        <w:t>(EPA) releas</w:t>
      </w:r>
      <w:r w:rsidR="005E0F68">
        <w:t xml:space="preserve">ed a voluntary tool to track energy usage, where building managers would enter their energy bills and the tool </w:t>
      </w:r>
      <w:r w:rsidR="00A21D55">
        <w:t>would track over time and compare</w:t>
      </w:r>
      <w:r w:rsidR="005E0F68">
        <w:t xml:space="preserve"> to peers</w:t>
      </w:r>
      <w:r w:rsidR="00AD3934">
        <w:t xml:space="preserve"> by attributing an ENERGYSTAR score when possibl</w:t>
      </w:r>
      <w:r w:rsidR="00A21D55">
        <w:t>e. This tool is the ENERGYSTAR P</w:t>
      </w:r>
      <w:r w:rsidR="00AD3934">
        <w:t>ortfolio Manager and has be</w:t>
      </w:r>
      <w:r>
        <w:t>en available over 30 years. It now</w:t>
      </w:r>
      <w:r w:rsidR="00AD3934">
        <w:t xml:space="preserve"> contains</w:t>
      </w:r>
      <w:r w:rsidR="00A21D55">
        <w:t xml:space="preserve"> over</w:t>
      </w:r>
      <w:r w:rsidR="003654BD">
        <w:t xml:space="preserve"> 450,000 buildings representing</w:t>
      </w:r>
      <w:r w:rsidR="00AD3934">
        <w:t xml:space="preserve"> </w:t>
      </w:r>
      <w:r w:rsidR="003654BD">
        <w:t>almost 50</w:t>
      </w:r>
      <w:r w:rsidR="00AD3934">
        <w:t>% of the US square footage of commercial buildings.</w:t>
      </w:r>
      <w:r w:rsidR="00AD3934">
        <w:fldChar w:fldCharType="begin"/>
      </w:r>
      <w:r w:rsidR="003654BD">
        <w:instrText xml:space="preserve"> ADDIN ZOTERO_ITEM CSL_CITATION {"citationID":"6N0E2aNt","properties":{"formattedCitation":"(EPA 2016)","plainCitation":"(EPA 2016)","noteIndex":0},"citationItems":[{"id":1434,"uris":["http://zotero.org/users/1410454/items/L55X8XZH"],"uri":["http://zotero.org/users/1410454/items/L55X8XZH"],"itemData":{"id":1434,"type":"article-journal","title":"Energy Star 2015 Snapshot - Measuring Progress in the Commercial and Industrial Buildings Sector - August 2016","page":"28","source":"Zotero","language":"en","author":[{"family":"EPA","given":""}],"issued":{"date-parts":[["2016",8]]}}}],"schema":"https://github.com/citation-style-language/schema/raw/master/csl-citation.json"} </w:instrText>
      </w:r>
      <w:r w:rsidR="00AD3934">
        <w:fldChar w:fldCharType="separate"/>
      </w:r>
      <w:r w:rsidR="003654BD" w:rsidRPr="003654BD">
        <w:rPr>
          <w:rFonts w:ascii="Calibri" w:hAnsi="Calibri" w:cs="Calibri"/>
        </w:rPr>
        <w:t>(EPA 2016)</w:t>
      </w:r>
      <w:r w:rsidR="00AD3934">
        <w:fldChar w:fldCharType="end"/>
      </w:r>
    </w:p>
    <w:p w14:paraId="4E9BD54C" w14:textId="4EA5A3D3" w:rsidR="00A21D55" w:rsidRDefault="00CC4BEC" w:rsidP="00A21D55">
      <w:r>
        <w:t>While this tool has been available in addition to other privately developed tools, and the rest of th</w:t>
      </w:r>
      <w:r w:rsidR="002A3DB7">
        <w:t>e economy became more efficient</w:t>
      </w:r>
      <w:r>
        <w:t>;</w:t>
      </w:r>
      <w:r w:rsidR="00FB2F0F">
        <w:t xml:space="preserve"> the </w:t>
      </w:r>
      <w:r w:rsidR="002A3DB7">
        <w:t xml:space="preserve">commercial sector continued to </w:t>
      </w:r>
      <w:r w:rsidR="00FB2F0F">
        <w:t>be</w:t>
      </w:r>
      <w:r>
        <w:t xml:space="preserve"> more inefficient </w:t>
      </w:r>
      <w:r w:rsidR="00FB2F0F">
        <w:t>every year until the early 2000’s</w:t>
      </w:r>
      <w:r w:rsidR="00A21D55" w:rsidRPr="00A21D55">
        <w:t xml:space="preserve"> </w:t>
      </w:r>
      <w:r w:rsidR="00A21D55">
        <w:t>as illustrated in figure 1</w:t>
      </w:r>
      <w:r w:rsidR="002C5449">
        <w:t xml:space="preserve"> </w:t>
      </w:r>
      <w:r w:rsidR="002C5449">
        <w:fldChar w:fldCharType="begin"/>
      </w:r>
      <w:r w:rsidR="002C5449">
        <w:instrText xml:space="preserve"> ADDIN ZOTERO_ITEM CSL_CITATION {"citationID":"zxfodjf7","properties":{"formattedCitation":"(DOE 2012)","plainCitation":"(DOE 2012)","noteIndex":0},"citationItems":[{"id":1467,"uris":["http://zotero.org/users/1410454/items/UQ46TD2I"],"uri":["http://zotero.org/users/1410454/items/UQ46TD2I"],"itemData":{"id":1467,"type":"webpage","title":"Energy Intensity Indicators: Highlights | Department of Energy","URL":"https://www.energy.gov/eere/analysis/energy-intensity-indicators-highlights","author":[{"family":"DOE","given":""}],"issued":{"date-parts":[["2012"]]},"accessed":{"date-parts":[["2018",12,7]]}}}],"schema":"https://github.com/citation-style-language/schema/raw/master/csl-citation.json"} </w:instrText>
      </w:r>
      <w:r w:rsidR="002C5449">
        <w:fldChar w:fldCharType="separate"/>
      </w:r>
      <w:r w:rsidR="002C5449" w:rsidRPr="002C5449">
        <w:rPr>
          <w:rFonts w:ascii="Calibri" w:hAnsi="Calibri" w:cs="Calibri"/>
        </w:rPr>
        <w:t>(DOE 2012)</w:t>
      </w:r>
      <w:r w:rsidR="002C5449">
        <w:fldChar w:fldCharType="end"/>
      </w:r>
      <w:r>
        <w:t xml:space="preserve">. </w:t>
      </w:r>
    </w:p>
    <w:p w14:paraId="4572EF81" w14:textId="25793D17" w:rsidR="00A21D55" w:rsidRDefault="00A21D55" w:rsidP="00A21D55">
      <w:pPr>
        <w:jc w:val="center"/>
      </w:pPr>
      <w:r w:rsidRPr="00244453">
        <w:rPr>
          <w:noProof/>
        </w:rPr>
        <w:drawing>
          <wp:inline distT="0" distB="0" distL="0" distR="0" wp14:anchorId="489202FC" wp14:editId="24894721">
            <wp:extent cx="4427220" cy="285971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4449220" cy="2873930"/>
                    </a:xfrm>
                    <a:prstGeom prst="rect">
                      <a:avLst/>
                    </a:prstGeom>
                  </pic:spPr>
                </pic:pic>
              </a:graphicData>
            </a:graphic>
          </wp:inline>
        </w:drawing>
      </w:r>
    </w:p>
    <w:p w14:paraId="2679204F" w14:textId="77777777" w:rsidR="00A21D55" w:rsidRDefault="00A21D55" w:rsidP="00A21D55">
      <w:pPr>
        <w:pStyle w:val="Caption"/>
        <w:jc w:val="center"/>
      </w:pPr>
      <w:bookmarkStart w:id="4" w:name="_Toc532165403"/>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Energy Intensity Index by end-use sector.</w:t>
      </w:r>
      <w:r>
        <w:fldChar w:fldCharType="begin"/>
      </w:r>
      <w:r>
        <w:instrText xml:space="preserve"> ADDIN ZOTERO_ITEM CSL_CITATION {"citationID":"oLkiNuGk","properties":{"formattedCitation":"(DOE 2012)","plainCitation":"(DOE 2012)","noteIndex":0},"citationItems":[{"id":1467,"uris":["http://zotero.org/users/1410454/items/UQ46TD2I"],"uri":["http://zotero.org/users/1410454/items/UQ46TD2I"],"itemData":{"id":1467,"type":"webpage","title":"Energy Intensity Indicators: Highlights | Department of Energy","URL":"https://www.energy.gov/eere/analysis/energy-intensity-indicators-highlights","author":[{"family":"DOE","given":""}],"issued":{"date-parts":[["2012"]]},"accessed":{"date-parts":[["2018",12,7]]}}}],"schema":"https://github.com/citation-style-language/schema/raw/master/csl-citation.json"} </w:instrText>
      </w:r>
      <w:r>
        <w:fldChar w:fldCharType="separate"/>
      </w:r>
      <w:r w:rsidRPr="00722AB2">
        <w:rPr>
          <w:rFonts w:ascii="Calibri" w:hAnsi="Calibri" w:cs="Calibri"/>
        </w:rPr>
        <w:t>(DOE 2012)</w:t>
      </w:r>
      <w:bookmarkEnd w:id="4"/>
      <w:r>
        <w:fldChar w:fldCharType="end"/>
      </w:r>
    </w:p>
    <w:p w14:paraId="6911FC0D" w14:textId="00489185" w:rsidR="00244453" w:rsidRDefault="00A21D55" w:rsidP="00CC4BEC">
      <w:r>
        <w:t>The Energy intensity index</w:t>
      </w:r>
      <w:r w:rsidR="00CC4BEC">
        <w:t xml:space="preserve"> </w:t>
      </w:r>
      <w:r w:rsidR="002A3DB7">
        <w:t>eventually</w:t>
      </w:r>
      <w:r w:rsidR="00CC4BEC">
        <w:t xml:space="preserve"> </w:t>
      </w:r>
      <w:r w:rsidR="00FB2F0F">
        <w:t>plateaued</w:t>
      </w:r>
      <w:r w:rsidR="00CC4BEC">
        <w:t xml:space="preserve"> </w:t>
      </w:r>
      <w:r w:rsidR="00FB2F0F">
        <w:t xml:space="preserve">and </w:t>
      </w:r>
      <w:r>
        <w:t xml:space="preserve">recently </w:t>
      </w:r>
      <w:r w:rsidR="00FB2F0F">
        <w:t xml:space="preserve">started </w:t>
      </w:r>
      <w:proofErr w:type="gramStart"/>
      <w:r w:rsidR="00FB2F0F">
        <w:t>to slightly decrease</w:t>
      </w:r>
      <w:proofErr w:type="gramEnd"/>
      <w:r w:rsidR="00FB2F0F">
        <w:t xml:space="preserve"> but i</w:t>
      </w:r>
      <w:r w:rsidR="0071286C">
        <w:t>s still 11% more inefficient than</w:t>
      </w:r>
      <w:r w:rsidR="00FB2F0F">
        <w:t xml:space="preserve"> in 1970.</w:t>
      </w:r>
    </w:p>
    <w:p w14:paraId="6CCB4768" w14:textId="3B8FCAAD" w:rsidR="00CC4BEC" w:rsidRDefault="00CC4BEC" w:rsidP="00CC4BEC">
      <w:r>
        <w:t xml:space="preserve">The lack of gain in efficiency </w:t>
      </w:r>
      <w:proofErr w:type="gramStart"/>
      <w:r>
        <w:t>can be partially explained</w:t>
      </w:r>
      <w:proofErr w:type="gramEnd"/>
      <w:r>
        <w:t xml:space="preserve"> by the </w:t>
      </w:r>
      <w:r w:rsidR="002A3DB7">
        <w:t>ever-growing</w:t>
      </w:r>
      <w:r>
        <w:t xml:space="preserve"> electric load on building</w:t>
      </w:r>
      <w:r w:rsidR="002A3DB7">
        <w:t>s and higher expectation from the public on</w:t>
      </w:r>
      <w:r w:rsidR="006B6728">
        <w:t xml:space="preserve"> thermal comfort. The building industry never actively counter</w:t>
      </w:r>
      <w:r w:rsidR="00FB2F0F">
        <w:t>ed</w:t>
      </w:r>
      <w:r w:rsidR="006B6728">
        <w:t xml:space="preserve"> this increase</w:t>
      </w:r>
      <w:r w:rsidR="00FB2F0F">
        <w:t>d</w:t>
      </w:r>
      <w:r w:rsidR="006B6728">
        <w:t xml:space="preserve"> load</w:t>
      </w:r>
      <w:r w:rsidR="00FB2F0F">
        <w:t>s</w:t>
      </w:r>
      <w:r w:rsidR="006B6728">
        <w:t xml:space="preserve"> with new technology adoption at </w:t>
      </w:r>
      <w:r w:rsidR="00FB2F0F">
        <w:t xml:space="preserve">a </w:t>
      </w:r>
      <w:r w:rsidR="006B6728">
        <w:t>massive</w:t>
      </w:r>
      <w:r w:rsidR="00FB2F0F">
        <w:t xml:space="preserve"> enough</w:t>
      </w:r>
      <w:r w:rsidR="006B6728">
        <w:t xml:space="preserve"> scale.</w:t>
      </w:r>
      <w:r>
        <w:t xml:space="preserve"> </w:t>
      </w:r>
    </w:p>
    <w:p w14:paraId="52A762AA" w14:textId="70BB7263" w:rsidR="00584880" w:rsidRPr="00FB2F0F" w:rsidRDefault="00A21D55" w:rsidP="00584880">
      <w:r>
        <w:lastRenderedPageBreak/>
        <w:t xml:space="preserve">In 2002, </w:t>
      </w:r>
      <w:r w:rsidR="00584880" w:rsidRPr="00FB2F0F">
        <w:t xml:space="preserve"> </w:t>
      </w:r>
      <w:proofErr w:type="spellStart"/>
      <w:r w:rsidR="00584880" w:rsidRPr="00FB2F0F">
        <w:t>Mazria</w:t>
      </w:r>
      <w:proofErr w:type="spellEnd"/>
      <w:r w:rsidR="00584880" w:rsidRPr="00FB2F0F">
        <w:t xml:space="preserve"> and the Architecture 2030 think-tank </w:t>
      </w:r>
      <w:r w:rsidR="002A3DB7" w:rsidRPr="00FB2F0F">
        <w:t>established an</w:t>
      </w:r>
      <w:r w:rsidR="002A3DB7">
        <w:t xml:space="preserve"> incremental</w:t>
      </w:r>
      <w:r w:rsidR="00584880" w:rsidRPr="00FB2F0F">
        <w:t xml:space="preserve"> pathway for the existing building stock to be part of the solution</w:t>
      </w:r>
      <w:r w:rsidR="002A3DB7">
        <w:t xml:space="preserve"> to </w:t>
      </w:r>
      <w:r w:rsidR="00584880" w:rsidRPr="00FB2F0F">
        <w:t xml:space="preserve"> reduc</w:t>
      </w:r>
      <w:r w:rsidR="002A3DB7">
        <w:t>e</w:t>
      </w:r>
      <w:r w:rsidR="00584880" w:rsidRPr="00FB2F0F">
        <w:t xml:space="preserve"> carbon emi</w:t>
      </w:r>
      <w:r w:rsidR="00A131C4">
        <w:t>ssion by 2030</w:t>
      </w:r>
      <w:r w:rsidR="00B00915">
        <w:t xml:space="preserve"> </w:t>
      </w:r>
      <w:r w:rsidR="002C5449">
        <w:fldChar w:fldCharType="begin"/>
      </w:r>
      <w:r w:rsidR="002C5449">
        <w:instrText xml:space="preserve"> ADDIN ZOTERO_ITEM CSL_CITATION {"citationID":"kQnugEWH","properties":{"formattedCitation":"(Mazria 2002)","plainCitation":"(Mazria 2002)","noteIndex":0},"citationItems":[{"id":1469,"uris":["http://zotero.org/users/1410454/items/8YPP3UWF"],"uri":["http://zotero.org/users/1410454/items/8YPP3UWF"],"itemData":{"id":1469,"type":"post-weblog","title":"About Us – Architecture 2030","URL":"https://architecture2030.org/about/","language":"en-US","author":[{"family":"Mazria","given":"Ed"}],"issued":{"date-parts":[["2002"]]},"accessed":{"date-parts":[["2018",12,7]]}}}],"schema":"https://github.com/citation-style-language/schema/raw/master/csl-citation.json"} </w:instrText>
      </w:r>
      <w:r w:rsidR="002C5449">
        <w:fldChar w:fldCharType="separate"/>
      </w:r>
      <w:r w:rsidR="002C5449" w:rsidRPr="002C5449">
        <w:rPr>
          <w:rFonts w:ascii="Calibri" w:hAnsi="Calibri" w:cs="Calibri"/>
        </w:rPr>
        <w:t>(Mazria 2002)</w:t>
      </w:r>
      <w:r w:rsidR="002C5449">
        <w:fldChar w:fldCharType="end"/>
      </w:r>
      <w:r>
        <w:t xml:space="preserve">. They developed annual goals </w:t>
      </w:r>
      <w:r w:rsidR="00584880" w:rsidRPr="00FB2F0F">
        <w:t xml:space="preserve">for new and existing </w:t>
      </w:r>
      <w:r w:rsidR="002E24C0" w:rsidRPr="00FB2F0F">
        <w:t>buildings, which</w:t>
      </w:r>
      <w:r w:rsidR="00584880" w:rsidRPr="00FB2F0F">
        <w:t xml:space="preserve"> set progressive yet aggressive </w:t>
      </w:r>
      <w:proofErr w:type="gramStart"/>
      <w:r w:rsidR="00584880" w:rsidRPr="00FB2F0F">
        <w:t>energy use reduction target</w:t>
      </w:r>
      <w:r w:rsidR="00722AB2">
        <w:t>s</w:t>
      </w:r>
      <w:proofErr w:type="gramEnd"/>
      <w:r w:rsidR="00584880" w:rsidRPr="00FB2F0F">
        <w:t xml:space="preserve"> to achieve over the years </w:t>
      </w:r>
      <w:r w:rsidR="0071286C">
        <w:t xml:space="preserve">in order </w:t>
      </w:r>
      <w:r w:rsidR="00584880" w:rsidRPr="00FB2F0F">
        <w:t>to meet carbon emission reduction targets by 2030.</w:t>
      </w:r>
    </w:p>
    <w:p w14:paraId="613337C2" w14:textId="3E07EA98" w:rsidR="00BC4BA5" w:rsidRDefault="00584880" w:rsidP="00584880">
      <w:r w:rsidRPr="00FB2F0F">
        <w:t xml:space="preserve">Architecture </w:t>
      </w:r>
      <w:proofErr w:type="gramStart"/>
      <w:r w:rsidRPr="00FB2F0F">
        <w:t>2030’s  simple</w:t>
      </w:r>
      <w:proofErr w:type="gramEnd"/>
      <w:r w:rsidRPr="00FB2F0F">
        <w:t xml:space="preserve"> plan accelerated the realization among policy makers</w:t>
      </w:r>
      <w:r w:rsidR="00722AB2">
        <w:t xml:space="preserve"> and the building communities</w:t>
      </w:r>
      <w:r w:rsidRPr="00FB2F0F">
        <w:t xml:space="preserve"> that aggressively reducing energy use from existing buildings </w:t>
      </w:r>
      <w:r w:rsidR="0071286C">
        <w:t>was a realistic and actionable solution to get the</w:t>
      </w:r>
      <w:r w:rsidRPr="00FB2F0F">
        <w:t xml:space="preserve"> carbon reduction needed to avoid a dramatic shift in earth climate.  </w:t>
      </w:r>
      <w:proofErr w:type="gramStart"/>
      <w:r w:rsidRPr="00FB2F0F">
        <w:t>As a consequence</w:t>
      </w:r>
      <w:proofErr w:type="gramEnd"/>
      <w:r w:rsidRPr="00FB2F0F">
        <w:t>, several</w:t>
      </w:r>
      <w:r w:rsidR="0071286C">
        <w:t xml:space="preserve"> </w:t>
      </w:r>
      <w:r w:rsidR="0071286C" w:rsidRPr="00FB2F0F">
        <w:t>2030</w:t>
      </w:r>
      <w:r w:rsidRPr="00FB2F0F">
        <w:t xml:space="preserve"> districts have </w:t>
      </w:r>
      <w:r w:rsidR="00FB2F0F" w:rsidRPr="00FB2F0F">
        <w:t>burgeoned</w:t>
      </w:r>
      <w:r w:rsidRPr="00FB2F0F">
        <w:t xml:space="preserve"> throughout the US</w:t>
      </w:r>
      <w:r w:rsidR="0071286C">
        <w:t>. These districts</w:t>
      </w:r>
      <w:r w:rsidRPr="00FB2F0F">
        <w:t xml:space="preserve"> organize buildings loc</w:t>
      </w:r>
      <w:r w:rsidR="00722AB2">
        <w:t xml:space="preserve">ated in the same area with the objective of </w:t>
      </w:r>
      <w:proofErr w:type="gramStart"/>
      <w:r w:rsidR="00722AB2">
        <w:t xml:space="preserve">identifying </w:t>
      </w:r>
      <w:r w:rsidR="00A131C4">
        <w:t xml:space="preserve"> adapted</w:t>
      </w:r>
      <w:proofErr w:type="gramEnd"/>
      <w:r w:rsidRPr="00FB2F0F">
        <w:t xml:space="preserve"> solutions to</w:t>
      </w:r>
      <w:r w:rsidR="00722AB2">
        <w:t xml:space="preserve"> meet these goals and supporting</w:t>
      </w:r>
      <w:r w:rsidRPr="00FB2F0F">
        <w:t xml:space="preserve"> </w:t>
      </w:r>
      <w:proofErr w:type="spellStart"/>
      <w:r w:rsidRPr="00FB2F0F">
        <w:t>each other</w:t>
      </w:r>
      <w:r w:rsidR="00722AB2">
        <w:t>s</w:t>
      </w:r>
      <w:proofErr w:type="spellEnd"/>
      <w:r w:rsidRPr="00FB2F0F">
        <w:t>.</w:t>
      </w:r>
      <w:r w:rsidR="00BC4BA5">
        <w:t xml:space="preserve"> While </w:t>
      </w:r>
      <w:r w:rsidR="00A131C4">
        <w:t>the number of district</w:t>
      </w:r>
      <w:r w:rsidR="00722AB2">
        <w:t>s</w:t>
      </w:r>
      <w:r w:rsidR="00A131C4">
        <w:t xml:space="preserve"> is </w:t>
      </w:r>
      <w:r w:rsidR="00BC4BA5">
        <w:t>growing, the participation is not nearly enough to have the impact needed.</w:t>
      </w:r>
    </w:p>
    <w:p w14:paraId="1B2EE476" w14:textId="48295B8B" w:rsidR="00BC4BA5" w:rsidRDefault="00BC4BA5" w:rsidP="00B00915">
      <w:pPr>
        <w:rPr>
          <w:rFonts w:ascii="Helvetica" w:hAnsi="Helvetica"/>
          <w:color w:val="000000"/>
          <w:sz w:val="23"/>
          <w:szCs w:val="23"/>
        </w:rPr>
      </w:pPr>
      <w:r>
        <w:t>More recently, Hawken rel</w:t>
      </w:r>
      <w:r w:rsidR="00A131C4">
        <w:t>e</w:t>
      </w:r>
      <w:r>
        <w:t xml:space="preserve">ased “Drawdown, the most comprehensive plan to fight climate change” which list the 100 solutions with the biggest impact to address climate change. </w:t>
      </w:r>
      <w:r w:rsidR="00722AB2">
        <w:t xml:space="preserve">This plan encompass all the fields that can contribute to drawing down carbon emissions. </w:t>
      </w:r>
      <w:r w:rsidR="002E24C0">
        <w:t>Ten</w:t>
      </w:r>
      <w:r>
        <w:t xml:space="preserve"> solutions </w:t>
      </w:r>
      <w:r w:rsidR="00A131C4">
        <w:t xml:space="preserve">detailed in the book </w:t>
      </w:r>
      <w:r>
        <w:t>involve the building stock</w:t>
      </w:r>
      <w:r w:rsidR="00A131C4">
        <w:t xml:space="preserve"> as listed in figure 2</w:t>
      </w:r>
      <w:r>
        <w:t xml:space="preserve">. </w:t>
      </w:r>
      <w:r w:rsidR="0071286C">
        <w:t xml:space="preserve"> According to this plan, i</w:t>
      </w:r>
      <w:r w:rsidR="006341D1">
        <w:t>mplementation</w:t>
      </w:r>
      <w:r w:rsidR="00722AB2">
        <w:t xml:space="preserve"> of building related solution</w:t>
      </w:r>
      <w:r w:rsidR="006341D1">
        <w:t xml:space="preserve"> would reduce CO2 emis</w:t>
      </w:r>
      <w:r w:rsidR="00A131C4">
        <w:t>sions by 54.5 </w:t>
      </w:r>
      <w:proofErr w:type="spellStart"/>
      <w:r w:rsidR="00A131C4">
        <w:t>gigatons</w:t>
      </w:r>
      <w:proofErr w:type="spellEnd"/>
      <w:r w:rsidR="00A131C4">
        <w:t xml:space="preserve"> </w:t>
      </w:r>
      <w:r w:rsidR="00A131C4">
        <w:fldChar w:fldCharType="begin"/>
      </w:r>
      <w:r w:rsidR="00A131C4">
        <w:instrText xml:space="preserve"> ADDIN ZOTERO_ITEM CSL_CITATION {"citationID":"Lo0AX1LI","properties":{"formattedCitation":"(Hawken 2017)","plainCitation":"(Hawken 2017)","noteIndex":0},"citationItems":[{"id":1437,"uris":["http://zotero.org/users/1410454/items/MVEZXV3G"],"uri":["http://zotero.org/users/1410454/items/MVEZXV3G"],"itemData":{"id":1437,"type":"webpage","title":"Drawdown","container-title":"Drawdown","abstract":"Project Drawdown is the most comprehensive plan ever proposed to reverse global warming. We gathered a qualified and diverse group of researchers from around the world to identify, research, and model the 100 most substantive, existing solutions to address climate change. What was uncovered is a path forward that can roll back global warming within thirty years.","URL":"https://www.drawdown.org/","language":"en","author":[{"family":"Hawken","given":""}],"issued":{"date-parts":[["2017"]]},"accessed":{"date-parts":[["2018",12,5]]}}}],"schema":"https://github.com/citation-style-language/schema/raw/master/csl-citation.json"} </w:instrText>
      </w:r>
      <w:r w:rsidR="00A131C4">
        <w:fldChar w:fldCharType="separate"/>
      </w:r>
      <w:r w:rsidR="00A131C4" w:rsidRPr="00A131C4">
        <w:rPr>
          <w:rFonts w:ascii="Calibri" w:hAnsi="Calibri" w:cs="Calibri"/>
        </w:rPr>
        <w:t>(Hawken 2017)</w:t>
      </w:r>
      <w:r w:rsidR="00A131C4">
        <w:fldChar w:fldCharType="end"/>
      </w:r>
      <w:r w:rsidR="00A131C4">
        <w:t>.</w:t>
      </w:r>
    </w:p>
    <w:tbl>
      <w:tblPr>
        <w:tblStyle w:val="TableGrid"/>
        <w:tblW w:w="0" w:type="auto"/>
        <w:tblLook w:val="04A0" w:firstRow="1" w:lastRow="0" w:firstColumn="1" w:lastColumn="0" w:noHBand="0" w:noVBand="1"/>
      </w:tblPr>
      <w:tblGrid>
        <w:gridCol w:w="9576"/>
      </w:tblGrid>
      <w:tr w:rsidR="00A131C4" w14:paraId="1BF41C28" w14:textId="77777777" w:rsidTr="00A131C4">
        <w:tc>
          <w:tcPr>
            <w:tcW w:w="9576" w:type="dxa"/>
          </w:tcPr>
          <w:p w14:paraId="286B9D65"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9" w:history="1">
              <w:r w:rsidR="00A131C4" w:rsidRPr="0071286C">
                <w:rPr>
                  <w:rStyle w:val="Hyperlink"/>
                  <w:rFonts w:ascii="Helvetica" w:hAnsi="Helvetica"/>
                  <w:b/>
                  <w:bCs/>
                  <w:caps/>
                  <w:color w:val="29ABE2"/>
                  <w:sz w:val="18"/>
                  <w:szCs w:val="23"/>
                </w:rPr>
                <w:t>BUILDING AUTOMATION</w:t>
              </w:r>
            </w:hyperlink>
            <w:r w:rsidR="00A131C4" w:rsidRPr="0071286C">
              <w:rPr>
                <w:rFonts w:ascii="Helvetica" w:hAnsi="Helvetica"/>
                <w:color w:val="000000"/>
                <w:sz w:val="18"/>
                <w:szCs w:val="23"/>
              </w:rPr>
              <w:t> – through controls and sensors, automation systems turn appliances and other energy uses on and off according to need and use, increasing utilization and reducing space heating and cooling waste.</w:t>
            </w:r>
          </w:p>
          <w:p w14:paraId="4381E1F1"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0" w:history="1">
              <w:r w:rsidR="00A131C4" w:rsidRPr="0071286C">
                <w:rPr>
                  <w:rStyle w:val="Hyperlink"/>
                  <w:rFonts w:ascii="Helvetica" w:hAnsi="Helvetica"/>
                  <w:b/>
                  <w:bCs/>
                  <w:caps/>
                  <w:color w:val="29ABE2"/>
                  <w:sz w:val="18"/>
                  <w:szCs w:val="23"/>
                </w:rPr>
                <w:t>GREEN ROOFS</w:t>
              </w:r>
            </w:hyperlink>
            <w:r w:rsidR="00A131C4" w:rsidRPr="0071286C">
              <w:rPr>
                <w:rFonts w:ascii="Helvetica" w:hAnsi="Helvetica"/>
                <w:color w:val="000000"/>
                <w:sz w:val="18"/>
                <w:szCs w:val="23"/>
              </w:rPr>
              <w:t> (cool roofs and green roofs) – cool roofs reflect solar radiation and reduce air temperature, which leads to reduction in cooling loads. Green roofs have a similar effect as well as reducing heating loads in regions of high heat demand. Collectively, green roofs mitigate carbon emissions by reducing fossil fuel use in heating and cooling.</w:t>
            </w:r>
          </w:p>
          <w:p w14:paraId="68C5A181"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1" w:history="1">
              <w:r w:rsidR="00A131C4" w:rsidRPr="0071286C">
                <w:rPr>
                  <w:rStyle w:val="Hyperlink"/>
                  <w:rFonts w:ascii="Helvetica" w:hAnsi="Helvetica"/>
                  <w:b/>
                  <w:bCs/>
                  <w:caps/>
                  <w:color w:val="29ABE2"/>
                  <w:sz w:val="18"/>
                  <w:szCs w:val="23"/>
                </w:rPr>
                <w:t>HEAT PUMPS</w:t>
              </w:r>
            </w:hyperlink>
            <w:r w:rsidR="00A131C4" w:rsidRPr="0071286C">
              <w:rPr>
                <w:rFonts w:ascii="Helvetica" w:hAnsi="Helvetica"/>
                <w:color w:val="000000"/>
                <w:sz w:val="18"/>
                <w:szCs w:val="23"/>
              </w:rPr>
              <w:t> – high efficiency heat pump systems are radically more efficient than conventional HVAC systems. The use of </w:t>
            </w:r>
            <w:r w:rsidR="00A131C4" w:rsidRPr="0071286C">
              <w:rPr>
                <w:rStyle w:val="Emphasis"/>
                <w:rFonts w:ascii="Helvetica" w:hAnsi="Helvetica"/>
                <w:color w:val="000000"/>
                <w:sz w:val="18"/>
                <w:szCs w:val="23"/>
              </w:rPr>
              <w:t>heat pumps</w:t>
            </w:r>
            <w:r w:rsidR="00A131C4" w:rsidRPr="0071286C">
              <w:rPr>
                <w:rFonts w:ascii="Helvetica" w:hAnsi="Helvetica"/>
                <w:color w:val="000000"/>
                <w:sz w:val="18"/>
                <w:szCs w:val="23"/>
              </w:rPr>
              <w:t> reduces building heating and cooling loads.</w:t>
            </w:r>
          </w:p>
          <w:p w14:paraId="00D1D298"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2" w:history="1">
              <w:r w:rsidR="00A131C4" w:rsidRPr="0071286C">
                <w:rPr>
                  <w:rStyle w:val="Hyperlink"/>
                  <w:rFonts w:ascii="Helvetica" w:hAnsi="Helvetica"/>
                  <w:b/>
                  <w:bCs/>
                  <w:caps/>
                  <w:color w:val="29ABE2"/>
                  <w:sz w:val="18"/>
                  <w:szCs w:val="23"/>
                </w:rPr>
                <w:t>INSULATION</w:t>
              </w:r>
            </w:hyperlink>
            <w:r w:rsidR="00A131C4" w:rsidRPr="0071286C">
              <w:rPr>
                <w:rFonts w:ascii="Helvetica" w:hAnsi="Helvetica"/>
                <w:color w:val="000000"/>
                <w:sz w:val="18"/>
                <w:szCs w:val="23"/>
              </w:rPr>
              <w:t> – insulating building envelopes reduces space heating and cooling loads, which in turn mitigates carbon emissions.</w:t>
            </w:r>
          </w:p>
          <w:p w14:paraId="0C88C6F2"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3" w:history="1">
              <w:r w:rsidR="00A131C4" w:rsidRPr="0071286C">
                <w:rPr>
                  <w:rStyle w:val="Hyperlink"/>
                  <w:rFonts w:ascii="Helvetica" w:hAnsi="Helvetica"/>
                  <w:b/>
                  <w:bCs/>
                  <w:caps/>
                  <w:color w:val="29ABE2"/>
                  <w:sz w:val="18"/>
                  <w:szCs w:val="23"/>
                </w:rPr>
                <w:t>LED LIGHTING (COMMERCIAL)</w:t>
              </w:r>
            </w:hyperlink>
            <w:r w:rsidR="00A131C4" w:rsidRPr="0071286C">
              <w:rPr>
                <w:rFonts w:ascii="Helvetica" w:hAnsi="Helvetica"/>
                <w:color w:val="000000"/>
                <w:sz w:val="18"/>
                <w:szCs w:val="23"/>
              </w:rPr>
              <w:t> – replacing conventional lighting solutions (bulbs, ballasts and systems) with more efficient commercial light-emitting diodes.</w:t>
            </w:r>
          </w:p>
          <w:p w14:paraId="7644EE74"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4" w:history="1">
              <w:r w:rsidR="00A131C4" w:rsidRPr="0071286C">
                <w:rPr>
                  <w:rStyle w:val="Hyperlink"/>
                  <w:rFonts w:ascii="Helvetica" w:hAnsi="Helvetica"/>
                  <w:b/>
                  <w:bCs/>
                  <w:caps/>
                  <w:color w:val="29ABE2"/>
                  <w:sz w:val="18"/>
                  <w:szCs w:val="23"/>
                </w:rPr>
                <w:t>LED LIGHTING (HOUSEHOLD)</w:t>
              </w:r>
            </w:hyperlink>
            <w:r w:rsidR="00A131C4" w:rsidRPr="0071286C">
              <w:rPr>
                <w:rFonts w:ascii="Helvetica" w:hAnsi="Helvetica"/>
                <w:color w:val="000000"/>
                <w:sz w:val="18"/>
                <w:szCs w:val="23"/>
              </w:rPr>
              <w:t> – replacing conventional lighting solutions (bulbs) with more efficient household light-emitting diodes.</w:t>
            </w:r>
          </w:p>
          <w:p w14:paraId="4D7CDADA"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5" w:history="1">
              <w:r w:rsidR="00A131C4" w:rsidRPr="0071286C">
                <w:rPr>
                  <w:rStyle w:val="Hyperlink"/>
                  <w:rFonts w:ascii="Helvetica" w:hAnsi="Helvetica"/>
                  <w:b/>
                  <w:bCs/>
                  <w:caps/>
                  <w:color w:val="29ABE2"/>
                  <w:sz w:val="18"/>
                  <w:szCs w:val="23"/>
                </w:rPr>
                <w:t>NET ZERO BUILDINGS</w:t>
              </w:r>
            </w:hyperlink>
            <w:r w:rsidR="00A131C4" w:rsidRPr="0071286C">
              <w:rPr>
                <w:rFonts w:ascii="Helvetica" w:hAnsi="Helvetica"/>
                <w:color w:val="000000"/>
                <w:sz w:val="18"/>
                <w:szCs w:val="23"/>
              </w:rPr>
              <w:t> – not counted/calculated - composite</w:t>
            </w:r>
          </w:p>
          <w:p w14:paraId="49E4C56C"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6" w:history="1">
              <w:r w:rsidR="00A131C4" w:rsidRPr="0071286C">
                <w:rPr>
                  <w:rStyle w:val="Hyperlink"/>
                  <w:rFonts w:ascii="Helvetica" w:hAnsi="Helvetica"/>
                  <w:b/>
                  <w:bCs/>
                  <w:caps/>
                  <w:color w:val="29ABE2"/>
                  <w:sz w:val="18"/>
                  <w:szCs w:val="23"/>
                </w:rPr>
                <w:t>RETROFITTING</w:t>
              </w:r>
            </w:hyperlink>
            <w:r w:rsidR="00A131C4" w:rsidRPr="0071286C">
              <w:rPr>
                <w:rFonts w:ascii="Helvetica" w:hAnsi="Helvetica"/>
                <w:color w:val="000000"/>
                <w:sz w:val="18"/>
                <w:szCs w:val="23"/>
              </w:rPr>
              <w:t> – not counted/calculated – composite</w:t>
            </w:r>
          </w:p>
          <w:p w14:paraId="68768D1C"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7" w:history="1">
              <w:r w:rsidR="00A131C4" w:rsidRPr="0071286C">
                <w:rPr>
                  <w:rStyle w:val="Hyperlink"/>
                  <w:rFonts w:ascii="Helvetica" w:hAnsi="Helvetica"/>
                  <w:b/>
                  <w:bCs/>
                  <w:caps/>
                  <w:color w:val="29ABE2"/>
                  <w:sz w:val="18"/>
                  <w:szCs w:val="23"/>
                </w:rPr>
                <w:t>SMART GLASS</w:t>
              </w:r>
            </w:hyperlink>
            <w:r w:rsidR="00A131C4" w:rsidRPr="0071286C">
              <w:rPr>
                <w:rFonts w:ascii="Helvetica" w:hAnsi="Helvetica"/>
                <w:color w:val="000000"/>
                <w:sz w:val="18"/>
                <w:szCs w:val="23"/>
              </w:rPr>
              <w:t xml:space="preserve"> – specially designed glass that can be implemented in buildings to control the infiltration and emissions of solar radiation, leading to reductions in space heating and cooling </w:t>
            </w:r>
            <w:proofErr w:type="gramStart"/>
            <w:r w:rsidR="00A131C4" w:rsidRPr="0071286C">
              <w:rPr>
                <w:rFonts w:ascii="Helvetica" w:hAnsi="Helvetica"/>
                <w:color w:val="000000"/>
                <w:sz w:val="18"/>
                <w:szCs w:val="23"/>
              </w:rPr>
              <w:t>loads which</w:t>
            </w:r>
            <w:proofErr w:type="gramEnd"/>
            <w:r w:rsidR="00A131C4" w:rsidRPr="0071286C">
              <w:rPr>
                <w:rFonts w:ascii="Helvetica" w:hAnsi="Helvetica"/>
                <w:color w:val="000000"/>
                <w:sz w:val="18"/>
                <w:szCs w:val="23"/>
              </w:rPr>
              <w:t>, in turn, mitigate carbon emissions.</w:t>
            </w:r>
          </w:p>
          <w:p w14:paraId="271052F3" w14:textId="77777777" w:rsidR="00A131C4" w:rsidRPr="0071286C" w:rsidRDefault="00461074" w:rsidP="00A131C4">
            <w:pPr>
              <w:pStyle w:val="NormalWeb"/>
              <w:shd w:val="clear" w:color="auto" w:fill="FFFFFF"/>
              <w:spacing w:before="0" w:beforeAutospacing="0" w:after="135" w:afterAutospacing="0"/>
              <w:rPr>
                <w:rFonts w:ascii="Helvetica" w:hAnsi="Helvetica"/>
                <w:color w:val="000000"/>
                <w:sz w:val="18"/>
                <w:szCs w:val="23"/>
              </w:rPr>
            </w:pPr>
            <w:hyperlink r:id="rId18" w:history="1">
              <w:r w:rsidR="00A131C4" w:rsidRPr="0071286C">
                <w:rPr>
                  <w:rStyle w:val="Hyperlink"/>
                  <w:rFonts w:ascii="Helvetica" w:hAnsi="Helvetica"/>
                  <w:b/>
                  <w:bCs/>
                  <w:caps/>
                  <w:color w:val="29ABE2"/>
                  <w:sz w:val="18"/>
                  <w:szCs w:val="23"/>
                </w:rPr>
                <w:t>SMART THERMOSTATS</w:t>
              </w:r>
            </w:hyperlink>
            <w:r w:rsidR="00A131C4" w:rsidRPr="0071286C">
              <w:rPr>
                <w:rFonts w:ascii="Helvetica" w:hAnsi="Helvetica"/>
                <w:color w:val="000000"/>
                <w:sz w:val="18"/>
                <w:szCs w:val="23"/>
              </w:rPr>
              <w:t> – internet-connected devices in households that reduce the heating and cooling demand of homes by using sensors and intelligent settings to maintain building comfort.</w:t>
            </w:r>
          </w:p>
          <w:p w14:paraId="384AFDB5" w14:textId="77777777" w:rsidR="00A131C4" w:rsidRPr="0071286C" w:rsidRDefault="00A131C4" w:rsidP="00A131C4">
            <w:pPr>
              <w:pStyle w:val="NormalWeb"/>
              <w:shd w:val="clear" w:color="auto" w:fill="FFFFFF"/>
              <w:spacing w:before="0" w:beforeAutospacing="0" w:after="135" w:afterAutospacing="0"/>
              <w:rPr>
                <w:rFonts w:ascii="Helvetica" w:hAnsi="Helvetica"/>
                <w:color w:val="000000"/>
                <w:sz w:val="18"/>
                <w:szCs w:val="23"/>
              </w:rPr>
            </w:pPr>
            <w:r w:rsidRPr="0071286C">
              <w:rPr>
                <w:rFonts w:ascii="Helvetica" w:hAnsi="Helvetica"/>
                <w:color w:val="000000"/>
                <w:sz w:val="18"/>
                <w:szCs w:val="23"/>
              </w:rPr>
              <w:t xml:space="preserve">Additionally, Project Drawdown modeled another key solution that depends on and interacts with buildings, but </w:t>
            </w:r>
            <w:proofErr w:type="gramStart"/>
            <w:r w:rsidRPr="0071286C">
              <w:rPr>
                <w:rFonts w:ascii="Helvetica" w:hAnsi="Helvetica"/>
                <w:color w:val="000000"/>
                <w:sz w:val="18"/>
                <w:szCs w:val="23"/>
              </w:rPr>
              <w:t>is categorized</w:t>
            </w:r>
            <w:proofErr w:type="gramEnd"/>
            <w:r w:rsidRPr="0071286C">
              <w:rPr>
                <w:rFonts w:ascii="Helvetica" w:hAnsi="Helvetica"/>
                <w:color w:val="000000"/>
                <w:sz w:val="18"/>
                <w:szCs w:val="23"/>
              </w:rPr>
              <w:t xml:space="preserve"> in the Energy Sector.</w:t>
            </w:r>
          </w:p>
          <w:p w14:paraId="3DDB2A57" w14:textId="5781430D" w:rsidR="00A131C4" w:rsidRDefault="00461074" w:rsidP="00A131C4">
            <w:pPr>
              <w:pStyle w:val="NormalWeb"/>
              <w:spacing w:before="0" w:beforeAutospacing="0" w:after="135" w:afterAutospacing="0"/>
              <w:rPr>
                <w:rFonts w:ascii="Helvetica" w:hAnsi="Helvetica"/>
                <w:color w:val="000000"/>
                <w:sz w:val="23"/>
                <w:szCs w:val="23"/>
              </w:rPr>
            </w:pPr>
            <w:hyperlink r:id="rId19" w:history="1">
              <w:r w:rsidR="00A131C4" w:rsidRPr="0071286C">
                <w:rPr>
                  <w:rStyle w:val="Hyperlink"/>
                  <w:rFonts w:ascii="Helvetica" w:hAnsi="Helvetica"/>
                  <w:b/>
                  <w:bCs/>
                  <w:caps/>
                  <w:color w:val="29ABE2"/>
                  <w:sz w:val="18"/>
                  <w:szCs w:val="23"/>
                </w:rPr>
                <w:t>SOLAR HOT WATER</w:t>
              </w:r>
            </w:hyperlink>
            <w:r w:rsidR="00A131C4" w:rsidRPr="0071286C">
              <w:rPr>
                <w:rFonts w:ascii="Helvetica" w:hAnsi="Helvetica"/>
                <w:color w:val="000000"/>
                <w:sz w:val="18"/>
                <w:szCs w:val="23"/>
              </w:rPr>
              <w:t> – the use of solar radiation to pre-heat or heat water for residential and commercial use within buildings, which reduces the need for conventional fossil fuel- based water heating.</w:t>
            </w:r>
          </w:p>
        </w:tc>
      </w:tr>
    </w:tbl>
    <w:p w14:paraId="70FF4C98" w14:textId="1DF5C023" w:rsidR="00BC4BA5" w:rsidRPr="00244453" w:rsidRDefault="000D76C9" w:rsidP="000D76C9">
      <w:pPr>
        <w:pStyle w:val="Caption"/>
      </w:pPr>
      <w:bookmarkStart w:id="5" w:name="_Toc532165404"/>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2</w:t>
      </w:r>
      <w:r w:rsidR="00461074">
        <w:rPr>
          <w:noProof/>
        </w:rPr>
        <w:fldChar w:fldCharType="end"/>
      </w:r>
      <w:r>
        <w:t xml:space="preserve">: </w:t>
      </w:r>
      <w:r w:rsidR="00BC4BA5">
        <w:t>the Drawdown, list of building related solutions</w:t>
      </w:r>
      <w:bookmarkEnd w:id="5"/>
    </w:p>
    <w:p w14:paraId="71BADB82" w14:textId="0A6ADB6C" w:rsidR="00244453" w:rsidRDefault="00A131C4" w:rsidP="00244453">
      <w:pPr>
        <w:pStyle w:val="Heading2"/>
      </w:pPr>
      <w:bookmarkStart w:id="6" w:name="_Toc532200742"/>
      <w:r>
        <w:lastRenderedPageBreak/>
        <w:t>Consumers and awareness of e</w:t>
      </w:r>
      <w:r w:rsidR="00244453">
        <w:t>nergy use</w:t>
      </w:r>
      <w:bookmarkEnd w:id="6"/>
    </w:p>
    <w:p w14:paraId="66115C7B" w14:textId="5E423718" w:rsidR="006B6728" w:rsidRPr="00CC4BEC" w:rsidRDefault="0071286C" w:rsidP="00CC4BEC">
      <w:r>
        <w:t xml:space="preserve">In addition to existing technologies capable of reducing energy waste. We know that consumers can also drive the reduction. </w:t>
      </w:r>
      <w:r w:rsidR="006B6728">
        <w:t>Research has shown that consumer</w:t>
      </w:r>
      <w:r w:rsidR="00FB2F0F">
        <w:t>s</w:t>
      </w:r>
      <w:r w:rsidR="00164F4E">
        <w:t xml:space="preserve"> change</w:t>
      </w:r>
      <w:r w:rsidR="006B6728">
        <w:t xml:space="preserve"> their behavior to save energy when receiving feedback about </w:t>
      </w:r>
      <w:r w:rsidR="00BC4BA5">
        <w:t>it</w:t>
      </w:r>
      <w:r>
        <w:t xml:space="preserve">, both </w:t>
      </w:r>
      <w:proofErr w:type="spellStart"/>
      <w:r>
        <w:t>at</w:t>
      </w:r>
      <w:r w:rsidR="006B6728">
        <w:t>home</w:t>
      </w:r>
      <w:proofErr w:type="spellEnd"/>
      <w:r w:rsidR="006B6728">
        <w:t xml:space="preserve"> or at work. A study showed a 7% energy use by household with in home display thermostat </w:t>
      </w:r>
      <w:r w:rsidR="00A131C4">
        <w:fldChar w:fldCharType="begin"/>
      </w:r>
      <w:r w:rsidR="00A131C4">
        <w:instrText xml:space="preserve"> ADDIN ZOTERO_ITEM CSL_CITATION {"citationID":"6jW5t5ur","properties":{"formattedCitation":"(Faruqui, Sergici, and Sharif 2010)","plainCitation":"(Faruqui, Sergici, and Sharif 2010)","noteIndex":0},"citationItems":[{"id":1435,"uris":["http://zotero.org/users/1410454/items/CHP9F6E4"],"uri":["http://zotero.org/users/1410454/items/CHP9F6E4"],"itemData":{"id":1435,"type":"article-journal","title":"The impact of informational feedback on energy consumption—A survey of the experimental evidence","container-title":"Energy","collection-title":"Demand Response Resources: the US and International Experience","page":"1598-1608","volume":"35","issue":"4","source":"ScienceDirect","abstract":"In theory, In-Home Displays (IHDs) can revolutionize the way utilities communicate information to customers because they can induce changes in customer behavior even when they are not accompanied by a change in electric prices or rebates for purchasing efficient equipment. IHDs provide consumers with direct feedback—real-time information on energy consumption and costs—and turn a once opaque and static electric bill into a transparent, dynamic, and controllable process. However, to what extent do consumers actually respond to the direct feedback provided by IHDs? In this paper, we seek to empirically answer this question by reviewing a dozen utility pilot programs in North America and abroad that focus on the energy conservation impact of IHDs. We also review overall customer opinions and attitudes towards IHDs and direct feedback to the extent that this information is available from the pilot studies. Our review indicates that the direct feedback provided by IHDs encourages consumers to make more efficient use of energy. We find that consumers who actively use an IHD can reduce their consumption of electricity on average by about 7 percent when prepayment of electricity is not involved. When consumers both use an IHD and are on an electricity prepayment system, they can reduce their electricity consumption by about twice that amount. In regard to demand response impacts, we find that the impact of time-of-use rates is augmented by direct feedback from IHDs.","DOI":"10.1016/j.energy.2009.07.042","ISSN":"0360-5442","journalAbbreviation":"Energy","author":[{"family":"Faruqui","given":"Ahmad"},{"family":"Sergici","given":"Sanem"},{"family":"Sharif","given":"Ahmed"}],"issued":{"date-parts":[["2010",4,1]]}}}],"schema":"https://github.com/citation-style-language/schema/raw/master/csl-citation.json"} </w:instrText>
      </w:r>
      <w:r w:rsidR="00A131C4">
        <w:fldChar w:fldCharType="separate"/>
      </w:r>
      <w:r w:rsidR="00A131C4" w:rsidRPr="006B6728">
        <w:rPr>
          <w:rFonts w:ascii="Calibri" w:hAnsi="Calibri" w:cs="Calibri"/>
        </w:rPr>
        <w:t>(Faruqui, Sergici, and Sharif 2010)</w:t>
      </w:r>
      <w:r w:rsidR="00A131C4">
        <w:fldChar w:fldCharType="end"/>
      </w:r>
      <w:r w:rsidR="00A131C4">
        <w:t xml:space="preserve">. In the work environment, </w:t>
      </w:r>
      <w:r w:rsidR="006B6728">
        <w:t>research</w:t>
      </w:r>
      <w:r w:rsidR="00A131C4">
        <w:t xml:space="preserve"> project from the Center for Buil</w:t>
      </w:r>
      <w:r w:rsidR="00722AB2">
        <w:t xml:space="preserve">dings Performance and </w:t>
      </w:r>
      <w:proofErr w:type="spellStart"/>
      <w:r w:rsidR="00722AB2">
        <w:t>Diagnotics</w:t>
      </w:r>
      <w:proofErr w:type="spellEnd"/>
      <w:r w:rsidR="006B6728">
        <w:t xml:space="preserve"> measure</w:t>
      </w:r>
      <w:r w:rsidR="00722AB2">
        <w:t>d</w:t>
      </w:r>
      <w:r w:rsidR="006B6728">
        <w:t xml:space="preserve"> 9% energy saving</w:t>
      </w:r>
      <w:r w:rsidR="00722AB2">
        <w:t>s</w:t>
      </w:r>
      <w:r w:rsidR="006B6728">
        <w:t xml:space="preserve"> from a group</w:t>
      </w:r>
      <w:r w:rsidR="00722AB2">
        <w:t xml:space="preserve"> of employees receiving </w:t>
      </w:r>
      <w:r w:rsidR="00A131C4">
        <w:t>feedback</w:t>
      </w:r>
      <w:r w:rsidR="00722AB2">
        <w:t xml:space="preserve"> on </w:t>
      </w:r>
      <w:r>
        <w:t>their</w:t>
      </w:r>
      <w:r w:rsidR="00722AB2">
        <w:t xml:space="preserve"> energy consumption</w:t>
      </w:r>
      <w:r w:rsidR="00BC4BA5">
        <w:t>.</w:t>
      </w:r>
      <w:r w:rsidR="006B6728" w:rsidRPr="00CC4BEC">
        <w:t xml:space="preserve"> </w:t>
      </w:r>
    </w:p>
    <w:p w14:paraId="6B437EB5" w14:textId="07FAD2E6" w:rsidR="00244453" w:rsidRPr="00244453" w:rsidRDefault="006B6728" w:rsidP="00244453">
      <w:r>
        <w:t>However , only 1</w:t>
      </w:r>
      <w:r w:rsidR="00244453" w:rsidRPr="00244453">
        <w:t>00</w:t>
      </w:r>
      <w:r>
        <w:t>M</w:t>
      </w:r>
      <w:r w:rsidR="00244453" w:rsidRPr="00244453">
        <w:t xml:space="preserve"> out of 117M  </w:t>
      </w:r>
      <w:r>
        <w:t>household have smart thermostat</w:t>
      </w:r>
      <w:r w:rsidR="00722AB2">
        <w:t>s</w:t>
      </w:r>
      <w:r>
        <w:t xml:space="preserve"> and only 14% of commercial buildings had a BAS systems in 2012</w:t>
      </w:r>
      <w:r w:rsidR="00722AB2">
        <w:t xml:space="preserve"> during the most recent CBECS survey</w:t>
      </w:r>
      <w:r w:rsidR="0071286C">
        <w:t xml:space="preserve"> </w:t>
      </w:r>
      <w:r>
        <w:fldChar w:fldCharType="begin"/>
      </w:r>
      <w:r w:rsidR="000C4BA1">
        <w:instrText xml:space="preserve"> ADDIN ZOTERO_ITEM CSL_CITATION {"citationID":"lDKstGLe","properties":{"formattedCitation":"(EIA 2012)","plainCitation":"(EIA 2012)","noteIndex":0},"citationItems":[{"id":744,"uris":["http://zotero.org/users/1410454/items/G4KUDIIN"],"uri":["http://zotero.org/users/1410454/items/G4KUDIIN"],"itemData":{"id":744,"type":"report","title":"Annual Energy Review 2011","publisher":"EIA","author":[{"family":"EIA","given":""}],"issued":{"date-parts":[["2012"]]}}}],"schema":"https://github.com/citation-style-language/schema/raw/master/csl-citation.json"} </w:instrText>
      </w:r>
      <w:r>
        <w:fldChar w:fldCharType="separate"/>
      </w:r>
      <w:r w:rsidR="000C4BA1" w:rsidRPr="000C4BA1">
        <w:rPr>
          <w:rFonts w:ascii="Calibri" w:hAnsi="Calibri" w:cs="Calibri"/>
        </w:rPr>
        <w:t>(EIA 2012)</w:t>
      </w:r>
      <w:r>
        <w:fldChar w:fldCharType="end"/>
      </w:r>
      <w:r w:rsidR="00BC4BA5">
        <w:t>.</w:t>
      </w:r>
      <w:r w:rsidR="0071286C">
        <w:t xml:space="preserve"> Giving energy information to a greater audience could possible lead to greater savings.</w:t>
      </w:r>
    </w:p>
    <w:p w14:paraId="70DDBEFE" w14:textId="77777777" w:rsidR="00244453" w:rsidRDefault="00244453" w:rsidP="00244453"/>
    <w:p w14:paraId="05F4FE21" w14:textId="1ED7E207" w:rsidR="00244453" w:rsidRDefault="00244453" w:rsidP="00244453">
      <w:pPr>
        <w:pStyle w:val="Heading2"/>
      </w:pPr>
      <w:bookmarkStart w:id="7" w:name="_Toc532200743"/>
      <w:r>
        <w:t>Opportunities for Energy efficiency investment</w:t>
      </w:r>
      <w:bookmarkEnd w:id="7"/>
    </w:p>
    <w:p w14:paraId="490332B2" w14:textId="12D382D9" w:rsidR="000C4BA1" w:rsidRPr="00244453" w:rsidRDefault="006B6728" w:rsidP="00722AB2">
      <w:r>
        <w:t>The M</w:t>
      </w:r>
      <w:r w:rsidR="00164F4E">
        <w:t>cKinsey group released a study</w:t>
      </w:r>
      <w:r>
        <w:t xml:space="preserve"> of the potential market for </w:t>
      </w:r>
      <w:r w:rsidR="0071286C">
        <w:t>energy service companies (ESCO)</w:t>
      </w:r>
      <w:r w:rsidR="00722AB2">
        <w:t xml:space="preserve"> as illustrated in figure 3</w:t>
      </w:r>
      <w:r w:rsidR="00164F4E">
        <w:t xml:space="preserve">. </w:t>
      </w:r>
    </w:p>
    <w:p w14:paraId="22C5E22D" w14:textId="77777777" w:rsidR="00244453" w:rsidRDefault="00244453" w:rsidP="00BC4BA5">
      <w:pPr>
        <w:jc w:val="center"/>
      </w:pPr>
      <w:r w:rsidRPr="00244453">
        <w:rPr>
          <w:noProof/>
        </w:rPr>
        <w:drawing>
          <wp:inline distT="0" distB="0" distL="0" distR="0" wp14:anchorId="056C7FC6" wp14:editId="487DE42A">
            <wp:extent cx="5444067" cy="3277491"/>
            <wp:effectExtent l="0" t="0" r="4445" b="0"/>
            <wp:docPr id="9" name="Picture 2" descr="mage result for retrofit market potenti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mage result for retrofit market potential"/>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3439" cy="3283133"/>
                    </a:xfrm>
                    <a:prstGeom prst="rect">
                      <a:avLst/>
                    </a:prstGeom>
                    <a:noFill/>
                    <a:extLst/>
                  </pic:spPr>
                </pic:pic>
              </a:graphicData>
            </a:graphic>
          </wp:inline>
        </w:drawing>
      </w:r>
    </w:p>
    <w:p w14:paraId="1C8295F1" w14:textId="4A7745BC" w:rsidR="00244453" w:rsidRDefault="000D76C9" w:rsidP="000D76C9">
      <w:pPr>
        <w:pStyle w:val="Caption"/>
      </w:pPr>
      <w:bookmarkStart w:id="8" w:name="_Toc532165405"/>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3</w:t>
      </w:r>
      <w:r w:rsidR="00461074">
        <w:rPr>
          <w:noProof/>
        </w:rPr>
        <w:fldChar w:fldCharType="end"/>
      </w:r>
      <w:r>
        <w:t xml:space="preserve">: </w:t>
      </w:r>
      <w:r w:rsidR="00244453">
        <w:t>McKinsey evaluation of Market oppor</w:t>
      </w:r>
      <w:r w:rsidR="00BC4BA5">
        <w:t>tunity for Energy Service Compa</w:t>
      </w:r>
      <w:r w:rsidR="00244453">
        <w:t>nies</w:t>
      </w:r>
      <w:r w:rsidR="00BC4BA5">
        <w:t xml:space="preserve"> </w:t>
      </w:r>
      <w:r w:rsidR="00244453">
        <w:t>(ESCO)</w:t>
      </w:r>
      <w:bookmarkEnd w:id="8"/>
    </w:p>
    <w:p w14:paraId="53897DCA" w14:textId="2535608E" w:rsidR="00722AB2" w:rsidRDefault="00722AB2" w:rsidP="00722AB2">
      <w:r>
        <w:t xml:space="preserve">In the study, they concluded that the market was over $35 billion of investment opportunities </w:t>
      </w:r>
      <w:proofErr w:type="gramStart"/>
      <w:r>
        <w:t>and  that</w:t>
      </w:r>
      <w:proofErr w:type="gramEnd"/>
      <w:r>
        <w:t xml:space="preserve"> over 80% of the market was still untouched </w:t>
      </w:r>
      <w:r w:rsidRPr="000C4BA1">
        <w:rPr>
          <w:rFonts w:ascii="Calibri" w:hAnsi="Calibri" w:cs="Calibri"/>
        </w:rPr>
        <w:t>(McKinsey &amp; Company 2010)</w:t>
      </w:r>
      <w:r>
        <w:t xml:space="preserve"> .</w:t>
      </w:r>
    </w:p>
    <w:p w14:paraId="5CAB9D46" w14:textId="77777777" w:rsidR="00722AB2" w:rsidRPr="00244453" w:rsidRDefault="00722AB2" w:rsidP="00722AB2">
      <w:r>
        <w:t xml:space="preserve">Addressing these opportunities is what will make the building sector meet its role in energy use reduction. </w:t>
      </w:r>
      <w:proofErr w:type="gramStart"/>
      <w:r>
        <w:t>But</w:t>
      </w:r>
      <w:proofErr w:type="gramEnd"/>
      <w:r>
        <w:t xml:space="preserve"> the demand is not sufficient.</w:t>
      </w:r>
      <w:r w:rsidRPr="000C4BA1">
        <w:t xml:space="preserve"> </w:t>
      </w:r>
      <w:r>
        <w:t xml:space="preserve">While the market exists, the investment decisions </w:t>
      </w:r>
      <w:proofErr w:type="gramStart"/>
      <w:r>
        <w:t>are not being made</w:t>
      </w:r>
      <w:proofErr w:type="gramEnd"/>
      <w:r>
        <w:t xml:space="preserve"> because of lack of prioritization of energy performance.</w:t>
      </w:r>
    </w:p>
    <w:p w14:paraId="223D7883" w14:textId="54B177EC" w:rsidR="006341D1" w:rsidRDefault="00E52961" w:rsidP="00700FB8">
      <w:pPr>
        <w:pStyle w:val="Heading2"/>
      </w:pPr>
      <w:bookmarkStart w:id="9" w:name="_Toc532200744"/>
      <w:r>
        <w:lastRenderedPageBreak/>
        <w:t>Origins of b</w:t>
      </w:r>
      <w:r w:rsidR="001A4759" w:rsidRPr="0CD76B00">
        <w:t xml:space="preserve">uilding </w:t>
      </w:r>
      <w:proofErr w:type="gramStart"/>
      <w:r w:rsidR="001A4759" w:rsidRPr="0CD76B00">
        <w:t xml:space="preserve">benchmarking </w:t>
      </w:r>
      <w:r>
        <w:t xml:space="preserve"> and</w:t>
      </w:r>
      <w:proofErr w:type="gramEnd"/>
      <w:r>
        <w:t xml:space="preserve"> transparency policies</w:t>
      </w:r>
      <w:bookmarkEnd w:id="9"/>
      <w:r w:rsidR="001A4759" w:rsidRPr="0CD76B00">
        <w:t xml:space="preserve"> </w:t>
      </w:r>
    </w:p>
    <w:p w14:paraId="60D0AF56" w14:textId="2FFDD89B" w:rsidR="00E52961" w:rsidRDefault="00E52961" w:rsidP="00E52961">
      <w:r>
        <w:t xml:space="preserve">The need to act locally to address climate change became more pressing in light of the difficulties to </w:t>
      </w:r>
      <w:r w:rsidR="00BF6CAE">
        <w:t>develop and execute</w:t>
      </w:r>
      <w:r w:rsidR="00642E9D">
        <w:t xml:space="preserve"> </w:t>
      </w:r>
      <w:r w:rsidR="00BF6CAE">
        <w:t xml:space="preserve">an </w:t>
      </w:r>
      <w:r>
        <w:t xml:space="preserve">international solution </w:t>
      </w:r>
      <w:r w:rsidR="00642E9D">
        <w:t>during COP meetings</w:t>
      </w:r>
      <w:r>
        <w:t>. More and more cities created task forces and working groups to develop municipal climate action plans. Those plans set aggressive goals for the horizons. While developing these plans, tackling energy use in buildings became more evident at the local scale as buildings are responsible for 70-80% of  Carbon emissions in urban setting</w:t>
      </w:r>
      <w:r w:rsidR="00BF6CAE">
        <w:t xml:space="preserve"> </w:t>
      </w:r>
      <w:r w:rsidR="00BF6CAE">
        <w:fldChar w:fldCharType="begin"/>
      </w:r>
      <w:r w:rsidR="00BF6CAE">
        <w:instrText xml:space="preserve"> ADDIN ZOTERO_ITEM CSL_CITATION {"citationID":"b2DWgJiQ","properties":{"formattedCitation":"(City of New York 2007)","plainCitation":"(City of New York 2007)","noteIndex":0},"citationItems":[{"id":898,"uris":["http://zotero.org/users/1410454/items/C49CDFBB"],"uri":["http://zotero.org/users/1410454/items/C49CDFBB"],"itemData":{"id":898,"type":"report","title":"PlaNYC, Building a greener, greater New York","publisher":"The City of New York","author":[{"family":"City of New York","given":""}],"issued":{"date-parts":[["2007"]]}}}],"schema":"https://github.com/citation-style-language/schema/raw/master/csl-citation.json"} </w:instrText>
      </w:r>
      <w:r w:rsidR="00BF6CAE">
        <w:fldChar w:fldCharType="separate"/>
      </w:r>
      <w:r w:rsidR="00BF6CAE" w:rsidRPr="00BF6CAE">
        <w:rPr>
          <w:rFonts w:ascii="Calibri" w:hAnsi="Calibri" w:cs="Calibri"/>
        </w:rPr>
        <w:t>(City of New York 2007)</w:t>
      </w:r>
      <w:r w:rsidR="00BF6CAE">
        <w:fldChar w:fldCharType="end"/>
      </w:r>
      <w:r w:rsidR="00BF6CAE">
        <w:t xml:space="preserve"> </w:t>
      </w:r>
      <w:r w:rsidR="00BF6CAE">
        <w:fldChar w:fldCharType="begin"/>
      </w:r>
      <w:r w:rsidR="00BF6CAE">
        <w:instrText xml:space="preserve"> ADDIN ZOTERO_ITEM CSL_CITATION {"citationID":"VoCiy2AN","properties":{"formattedCitation":"(City of Pittsburgh 2018)","plainCitation":"(City of Pittsburgh 2018)","noteIndex":0},"citationItems":[{"id":1478,"uris":["http://zotero.org/users/1410454/items/PCYJEY5A"],"uri":["http://zotero.org/users/1410454/items/PCYJEY5A"],"itemData":{"id":1478,"type":"report","title":"606_PCAP_3_0_Draft-_9-26-17.pdf","URL":"http://apps.pittsburghpa.gov/redtail/images/606_PCAP_3_0_Draft-_9-26-17.pdf","author":[{"family":"City of Pittsburgh","given":""}],"issued":{"date-parts":[["2018"]]},"accessed":{"date-parts":[["2018",12,9]]}}}],"schema":"https://github.com/citation-style-language/schema/raw/master/csl-citation.json"} </w:instrText>
      </w:r>
      <w:r w:rsidR="00BF6CAE">
        <w:fldChar w:fldCharType="separate"/>
      </w:r>
      <w:r w:rsidR="00BF6CAE" w:rsidRPr="00BF6CAE">
        <w:rPr>
          <w:rFonts w:ascii="Calibri" w:hAnsi="Calibri" w:cs="Calibri"/>
        </w:rPr>
        <w:t>(City of Pittsburgh 2018)</w:t>
      </w:r>
      <w:r w:rsidR="00BF6CAE">
        <w:fldChar w:fldCharType="end"/>
      </w:r>
      <w:r>
        <w:t>. Understanding how these building</w:t>
      </w:r>
      <w:r w:rsidR="00BF6CAE">
        <w:t>s</w:t>
      </w:r>
      <w:r>
        <w:t xml:space="preserve"> used energy to develop policies and program to address their waste became a necessity and benchmarking and transparency </w:t>
      </w:r>
      <w:proofErr w:type="gramStart"/>
      <w:r>
        <w:t>ordinances  are</w:t>
      </w:r>
      <w:proofErr w:type="gramEnd"/>
      <w:r>
        <w:t xml:space="preserve"> perceived as the first steps toward this understanding.</w:t>
      </w:r>
    </w:p>
    <w:p w14:paraId="59C54F51" w14:textId="2A8B15C3" w:rsidR="00E52961" w:rsidRDefault="00E52961" w:rsidP="00E52961">
      <w:r>
        <w:t xml:space="preserve">Building Benchmarking refers to annual tracking of the energy  use of a building to compare it to its peers, a standard or its past performance </w:t>
      </w:r>
      <w:r>
        <w:fldChar w:fldCharType="begin"/>
      </w:r>
      <w:r>
        <w:instrText xml:space="preserve"> ADDIN ZOTERO_ITEM CSL_CITATION {"citationID":"ScWSVTpw","properties":{"formattedCitation":"(EnergyStar 2015)","plainCitation":"(EnergyStar 2015)","noteIndex":0},"citationItems":[{"id":1082,"uris":["http://zotero.org/users/1410454/items/XCK8FVD6"],"uri":["http://zotero.org/users/1410454/items/XCK8FVD6"],"itemData":{"id":1082,"type":"article","title":"List of Portfolio Manager property type, definitions, and use details","publisher":"EPA","URL":"https://www.energystar.gov/sites/default/files/tools/Property_Use_Details_and_Definitions_20150210_508.pdf","author":[{"family":"EnergyStar","given":""}],"issued":{"date-parts":[["2015",2]]},"accessed":{"date-parts":[["2015",8,27]]}}}],"schema":"https://github.com/citation-style-language/schema/raw/master/csl-citation.json"} </w:instrText>
      </w:r>
      <w:r>
        <w:fldChar w:fldCharType="separate"/>
      </w:r>
      <w:r w:rsidRPr="006341D1">
        <w:rPr>
          <w:rFonts w:ascii="Calibri" w:hAnsi="Calibri" w:cs="Calibri"/>
        </w:rPr>
        <w:t>(EnergyStar 2015)</w:t>
      </w:r>
      <w:r>
        <w:fldChar w:fldCharType="end"/>
      </w:r>
      <w:r>
        <w:t>. The concept of benchmarking energy in buildings has been present in the building industry since  early 1990’s according to Perez.</w:t>
      </w:r>
      <w:r>
        <w:fldChar w:fldCharType="begin"/>
      </w:r>
      <w:r>
        <w:instrText xml:space="preserve"> ADDIN ZOTERO_ITEM CSL_CITATION {"citationID":"CiHwUadx","properties":{"formattedCitation":"(P\\uc0\\u233{}rez-Lombard et al. 2009)","plainCitation":"(Pérez-Lombard et al. 2009)","noteIndex":0},"citationItems":[{"id":720,"uris":["http://zotero.org/users/1410454/items/Q5S2CXH6"],"uri":["http://zotero.org/users/1410454/items/Q5S2CXH6"],"itemData":{"id":720,"type":"article-journal","title":"A review of benchmarking, rating and labelling concepts within the framework of building energy certification schemes","container-title":"Energy and Buildings","page":"272-278","volume":"41","issue":"3","source":"ScienceDirect","abstract":"Energy certification schemes for buildings emerged in the early 1990s as an essential method for improving energy efficiency, minimising energy consumption and enabling greater transparency with regards to the use of energy in buildings. However, from the beginning their definition and implementation process were diffuse and, occasionally, have confused building sector stakeholders. A multiplicity of terms and concepts such as energy performance, energy efficiency, energy ratings, benchmarking, labelling, etc., have emerged with sometimes overlapping meanings. This has frequently led to misleading interpretations by regulatory bodies, energy agencies and final consumers.\n\nThis paper analyses the origin and the historic development of energy certification schemes in buildings along with the definition and scope of a building energy certificate and critical aspects of its implementation. Concepts such as benchmarking tools, energy ratings and energy labelling are clarified within the wider topic of certification schemes. Finally, a seven steps process is proposed as a guide for implementing building energy certification.","DOI":"10.1016/j.enbuild.2008.10.004","ISSN":"0378-7788","journalAbbreviation":"Energy and Buildings","author":[{"family":"Pérez-Lombard","given":"Luis"},{"family":"Ortiz","given":"José"},{"family":"González","given":"Rocío"},{"family":"Maestre","given":"Ismael R."}],"issued":{"date-parts":[["2009",3]]}}}],"schema":"https://github.com/citation-style-language/schema/raw/master/csl-citation.json"} </w:instrText>
      </w:r>
      <w:r>
        <w:fldChar w:fldCharType="separate"/>
      </w:r>
      <w:r w:rsidRPr="005E0F68">
        <w:rPr>
          <w:rFonts w:ascii="Calibri" w:hAnsi="Calibri" w:cs="Calibri"/>
          <w:szCs w:val="24"/>
        </w:rPr>
        <w:t>(Pérez-Lombard et al. 2009)</w:t>
      </w:r>
      <w:r>
        <w:fldChar w:fldCharType="end"/>
      </w:r>
      <w:r>
        <w:t xml:space="preserve">. </w:t>
      </w:r>
    </w:p>
    <w:p w14:paraId="0BB42913" w14:textId="00C258BD" w:rsidR="004C05C6" w:rsidRPr="00E52961" w:rsidRDefault="004C05C6" w:rsidP="004C05C6">
      <w:r>
        <w:t xml:space="preserve">A building benchmarking </w:t>
      </w:r>
      <w:proofErr w:type="gramStart"/>
      <w:r>
        <w:t>ordinance,</w:t>
      </w:r>
      <w:proofErr w:type="gramEnd"/>
      <w:r>
        <w:t xml:space="preserve"> is a mandate </w:t>
      </w:r>
      <w:r w:rsidR="00BF6CAE">
        <w:t>by a city or county</w:t>
      </w:r>
      <w:r>
        <w:t xml:space="preserve">, requiring property owners to reports their energy --and </w:t>
      </w:r>
      <w:proofErr w:type="spellStart"/>
      <w:r>
        <w:t>some times</w:t>
      </w:r>
      <w:proofErr w:type="spellEnd"/>
      <w:r>
        <w:t xml:space="preserve"> water use to the local government. The local government will </w:t>
      </w:r>
      <w:r w:rsidR="00BF6CAE">
        <w:t>then make the data public in</w:t>
      </w:r>
      <w:r>
        <w:t xml:space="preserve"> various format</w:t>
      </w:r>
      <w:r w:rsidR="00BF6CAE">
        <w:t>s</w:t>
      </w:r>
      <w:r>
        <w:t xml:space="preserve"> such as a visual map of performance, a report, </w:t>
      </w:r>
      <w:proofErr w:type="gramStart"/>
      <w:r>
        <w:t>a  public</w:t>
      </w:r>
      <w:proofErr w:type="gramEnd"/>
      <w:r>
        <w:t xml:space="preserve"> dataset. The ordinance is applicable to a </w:t>
      </w:r>
      <w:proofErr w:type="gramStart"/>
      <w:r>
        <w:t>specific  type</w:t>
      </w:r>
      <w:proofErr w:type="gramEnd"/>
      <w:r>
        <w:t xml:space="preserve"> of buildings over a certain size threshold defined in the ordinance and varying by cities. </w:t>
      </w:r>
      <w:r w:rsidR="00BF6CAE">
        <w:t xml:space="preserve">For instance, in Pittsburgh, non-residential buildings over 50,000sqft have to report their energy and water use to the city since June 2018. </w:t>
      </w:r>
      <w:r>
        <w:t>This concept is recent and was introduce in an American city for the first time in 2008.</w:t>
      </w:r>
    </w:p>
    <w:p w14:paraId="40E35507" w14:textId="57AD144B" w:rsidR="00E52961" w:rsidRPr="00D407A7" w:rsidRDefault="00E52961" w:rsidP="00E52961">
      <w:r w:rsidRPr="00D407A7">
        <w:t xml:space="preserve">Ordinances </w:t>
      </w:r>
      <w:proofErr w:type="gramStart"/>
      <w:r w:rsidRPr="00D407A7">
        <w:t>are thought</w:t>
      </w:r>
      <w:proofErr w:type="gramEnd"/>
      <w:r w:rsidRPr="00D407A7">
        <w:t xml:space="preserve"> to force broader adoption</w:t>
      </w:r>
      <w:r>
        <w:t xml:space="preserve"> of the benchmarking tools and </w:t>
      </w:r>
      <w:r w:rsidRPr="00D407A7">
        <w:t>create awareness</w:t>
      </w:r>
      <w:r>
        <w:t xml:space="preserve"> of energy waste</w:t>
      </w:r>
      <w:r w:rsidRPr="00D407A7">
        <w:t>.</w:t>
      </w:r>
      <w:r>
        <w:t xml:space="preserve"> This new awareness would drive the market toward investing in efficiency for building</w:t>
      </w:r>
      <w:r w:rsidR="00BF6CAE">
        <w:t>s</w:t>
      </w:r>
      <w:r>
        <w:t xml:space="preserve"> to remain competitive and attract tenants </w:t>
      </w:r>
      <w:r>
        <w:fldChar w:fldCharType="begin"/>
      </w:r>
      <w:r>
        <w:instrText xml:space="preserve"> ADDIN ZOTERO_ITEM CSL_CITATION {"citationID":"mqpm8gMQ","properties":{"formattedCitation":"(Hart 2018)","plainCitation":"(Hart 2018)","noteIndex":0},"citationItems":[{"id":1442,"uris":["http://zotero.org/users/1410454/items/R8CSCJ5R"],"uri":["http://zotero.org/users/1410454/items/R8CSCJ5R"],"itemData":{"id":1442,"type":"webpage","title":"Sharing-Data-to-Motivate-Action.pdf","URL":"https://www.imt.org/wp-content/uploads/2018/05/Sharing-Data-to-Motivate-Action.pdf","author":[{"family":"Hart","given":""}],"issued":{"date-parts":[["2018"]]},"accessed":{"date-parts":[["2018",12,6]]}}}],"schema":"https://github.com/citation-style-language/schema/raw/master/csl-citation.json"} </w:instrText>
      </w:r>
      <w:r>
        <w:fldChar w:fldCharType="separate"/>
      </w:r>
      <w:r w:rsidRPr="00775903">
        <w:rPr>
          <w:rFonts w:ascii="Calibri" w:hAnsi="Calibri" w:cs="Calibri"/>
        </w:rPr>
        <w:t>(Hart 2018)</w:t>
      </w:r>
      <w:r>
        <w:fldChar w:fldCharType="end"/>
      </w:r>
      <w:r>
        <w:t xml:space="preserve"> .</w:t>
      </w:r>
    </w:p>
    <w:p w14:paraId="6C41BEC3" w14:textId="1EF560D9" w:rsidR="00E52961" w:rsidRDefault="00E52961" w:rsidP="00E52961">
      <w:r w:rsidRPr="00D407A7">
        <w:t xml:space="preserve"> </w:t>
      </w:r>
      <w:r>
        <w:t>Cities also intend to use the information to i</w:t>
      </w:r>
      <w:r w:rsidRPr="00D407A7">
        <w:t>nform policy design and programs that will support local adoption of energy efficiency measure</w:t>
      </w:r>
      <w:r>
        <w:t>s</w:t>
      </w:r>
      <w:r w:rsidR="00BF6CAE">
        <w:fldChar w:fldCharType="begin"/>
      </w:r>
      <w:r w:rsidR="00BF6CAE">
        <w:instrText xml:space="preserve"> ADDIN ZOTERO_ITEM CSL_CITATION {"citationID":"m6mkhQAO","properties":{"formattedCitation":"(Shah et al. 2016)","plainCitation":"(Shah et al. 2016)","noteIndex":0},"citationItems":[{"id":1445,"uris":["http://zotero.org/users/1410454/items/MGILBUCW"],"uri":["http://zotero.org/users/1410454/items/MGILBUCW"],"itemData":{"id":1445,"type":"report","title":"DOE Voluntary Partnership Program with Utilities and Local Governments Supports the Design of New Data Access Solutions","publisher":"Washington, D.C.: American Council for an Energy-Efficient Economy (ACEEE)","source":"www.osti.gov","abstract":"The U.S. Department of Energy's Office of Scientific and Technical Information","URL":"https://www.osti.gov/biblio/1324397","number":"NREL/CP-6A20-66233","language":"English","author":[{"family":"Shah","given":"Monisha"},{"family":"Burr","given":"Andrew"},{"family":"Schulte","given":"Andrew"},{"family":"Field-Macumber","given":"Kristin"},{"family":"Cochran-Hameen","given":"Erica"},{"family":"Marion","given":"Flore"}],"issued":{"date-parts":[["2016",8,26]]},"accessed":{"date-parts":[["2018",12,6]]}}}],"schema":"https://github.com/citation-style-language/schema/raw/master/csl-citation.json"} </w:instrText>
      </w:r>
      <w:r w:rsidR="00BF6CAE">
        <w:fldChar w:fldCharType="separate"/>
      </w:r>
      <w:r w:rsidR="00BF6CAE" w:rsidRPr="00BF6CAE">
        <w:rPr>
          <w:rFonts w:ascii="Calibri" w:hAnsi="Calibri" w:cs="Calibri"/>
        </w:rPr>
        <w:t>(Shah et al. 2016)</w:t>
      </w:r>
      <w:r w:rsidR="00BF6CAE">
        <w:fldChar w:fldCharType="end"/>
      </w:r>
      <w:r>
        <w:t>.</w:t>
      </w:r>
    </w:p>
    <w:p w14:paraId="3523CF62" w14:textId="66921623" w:rsidR="001A4759" w:rsidRDefault="003200F2" w:rsidP="001A4759">
      <w:r w:rsidRPr="003200F2">
        <w:rPr>
          <w:noProof/>
        </w:rPr>
        <w:lastRenderedPageBreak/>
        <w:drawing>
          <wp:inline distT="0" distB="0" distL="0" distR="0" wp14:anchorId="61D83294" wp14:editId="3E1949F5">
            <wp:extent cx="5943600" cy="4404995"/>
            <wp:effectExtent l="0" t="0" r="0" b="0"/>
            <wp:docPr id="7" name="Picture 2" descr="https://www.imt.org/wp-content/uploads/2018/10/IMT_BenchmarkingMap_CityCountyState_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www.imt.org/wp-content/uploads/2018/10/IMT_BenchmarkingMap_CityCountyState_CURR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04995"/>
                    </a:xfrm>
                    <a:prstGeom prst="rect">
                      <a:avLst/>
                    </a:prstGeom>
                    <a:noFill/>
                    <a:extLst/>
                  </pic:spPr>
                </pic:pic>
              </a:graphicData>
            </a:graphic>
          </wp:inline>
        </w:drawing>
      </w:r>
    </w:p>
    <w:p w14:paraId="0D6826D1" w14:textId="2432A589" w:rsidR="00725E3B" w:rsidRDefault="000D76C9" w:rsidP="000D76C9">
      <w:pPr>
        <w:pStyle w:val="Caption"/>
      </w:pPr>
      <w:bookmarkStart w:id="10" w:name="_Toc532165406"/>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4</w:t>
      </w:r>
      <w:r w:rsidR="00461074">
        <w:rPr>
          <w:noProof/>
        </w:rPr>
        <w:fldChar w:fldCharType="end"/>
      </w:r>
      <w:r w:rsidR="00725E3B">
        <w:t>: maps of cities with benchmarking ordinance (IMT, 2018)</w:t>
      </w:r>
      <w:bookmarkEnd w:id="10"/>
    </w:p>
    <w:p w14:paraId="13650311" w14:textId="77777777" w:rsidR="004C05C6" w:rsidRPr="004C05C6" w:rsidRDefault="004C05C6" w:rsidP="004C05C6"/>
    <w:p w14:paraId="39D7C595" w14:textId="02C06BB5" w:rsidR="001A4759" w:rsidRDefault="00775903" w:rsidP="00D407A7">
      <w:pPr>
        <w:pStyle w:val="Heading2"/>
      </w:pPr>
      <w:bookmarkStart w:id="11" w:name="_Toc532200745"/>
      <w:r>
        <w:t>Who benefits from the data transparency</w:t>
      </w:r>
      <w:r w:rsidR="001A4759" w:rsidRPr="0CD76B00">
        <w:t>?</w:t>
      </w:r>
      <w:bookmarkEnd w:id="11"/>
    </w:p>
    <w:p w14:paraId="25C3BCF2" w14:textId="77777777" w:rsidR="001A4759" w:rsidRDefault="001A4759" w:rsidP="00D407A7">
      <w:pPr>
        <w:pStyle w:val="Heading3"/>
      </w:pPr>
      <w:r>
        <w:t>Benefits to Owners:</w:t>
      </w:r>
    </w:p>
    <w:p w14:paraId="61346541" w14:textId="230E0020" w:rsidR="001A4759" w:rsidRDefault="001A4759" w:rsidP="001A4759">
      <w:r>
        <w:t>Building benchmarking benefits many stakeholders: The first stakeholders that can leverage information from benchmarking are the owners: First, comparing to peers helps understand whether a building is wasting energy and could be run differently or improved to save energy and money</w:t>
      </w:r>
      <w:r>
        <w:fldChar w:fldCharType="begin"/>
      </w:r>
      <w:r w:rsidR="005E0F68">
        <w:instrText xml:space="preserve"> ADDIN ZOTERO_ITEM CSL_CITATION {"citationID":"0TvCNmDJ","properties":{"formattedCitation":"(EPA 2012)","plainCitation":"(EPA 2012)","noteIndex":0},"citationItems":[{"id":743,"uris":["http://zotero.org/users/1410454/items/FZUTX4EB"],"uri":["http://zotero.org/users/1410454/items/FZUTX4EB"],"itemData":{"id":743,"type":"report","title":"Benchmarking and Energy Savings","collection-title":"Portfolio Manager  Data Trend","publisher":"Environmental Protection Agency","author":[{"literal":"EPA"}],"issued":{"date-parts":[["2012"]]}}}],"schema":"https://github.com/citation-style-language/schema/raw/master/csl-citation.json"} </w:instrText>
      </w:r>
      <w:r>
        <w:fldChar w:fldCharType="separate"/>
      </w:r>
      <w:r w:rsidRPr="00C23B04">
        <w:rPr>
          <w:rFonts w:ascii="Calibri" w:hAnsi="Calibri" w:cs="Calibri"/>
        </w:rPr>
        <w:t>(EPA 2012)</w:t>
      </w:r>
      <w:r>
        <w:fldChar w:fldCharType="end"/>
      </w:r>
      <w:r>
        <w:t>.</w:t>
      </w:r>
    </w:p>
    <w:p w14:paraId="321D6A8C" w14:textId="77777777" w:rsidR="001A4759" w:rsidRDefault="001A4759" w:rsidP="001A4759">
      <w:r>
        <w:t>Secondly it allows to compare against past energy use to identify sudden change in consumption or confirm that upgrade of system indeed provided the expected savings.</w:t>
      </w:r>
    </w:p>
    <w:p w14:paraId="2D8D40F8" w14:textId="77777777" w:rsidR="001A4759" w:rsidRDefault="001A4759" w:rsidP="001A4759">
      <w:r>
        <w:t>Lastly, a building performing well can use the information to attract high quality tenants.</w:t>
      </w:r>
    </w:p>
    <w:p w14:paraId="1F024835" w14:textId="77777777" w:rsidR="001A4759" w:rsidRDefault="001A4759" w:rsidP="00D407A7">
      <w:pPr>
        <w:pStyle w:val="Heading3"/>
      </w:pPr>
      <w:proofErr w:type="gramStart"/>
      <w:r>
        <w:t>Benefits  to</w:t>
      </w:r>
      <w:proofErr w:type="gramEnd"/>
      <w:r>
        <w:t xml:space="preserve"> Utilities</w:t>
      </w:r>
    </w:p>
    <w:p w14:paraId="3598D220" w14:textId="1DA7F068" w:rsidR="001A4759" w:rsidRDefault="001A4759" w:rsidP="001A4759">
      <w:pPr>
        <w:rPr>
          <w:b/>
          <w:bCs/>
        </w:rPr>
      </w:pPr>
      <w:r>
        <w:t>Many stakeholders saw immediate applicability of benchmarking data to assist utilities programs. Most utilities are required to distribute rebate programs by their P</w:t>
      </w:r>
      <w:r w:rsidR="00BF6CAE">
        <w:t xml:space="preserve">ublic Utility </w:t>
      </w:r>
      <w:proofErr w:type="gramStart"/>
      <w:r w:rsidR="00BF6CAE">
        <w:t>Commission(</w:t>
      </w:r>
      <w:proofErr w:type="gramEnd"/>
      <w:r w:rsidR="00BF6CAE">
        <w:t>P</w:t>
      </w:r>
      <w:r>
        <w:t>UC</w:t>
      </w:r>
      <w:r w:rsidR="00BF6CAE">
        <w:t>)</w:t>
      </w:r>
      <w:r>
        <w:t>. The recruiting of the consumers benefitting from these rebates varies by utilities and often the rebates are distributed on a first come first serve basis and not on a most needed basis</w:t>
      </w:r>
      <w:r>
        <w:fldChar w:fldCharType="begin"/>
      </w:r>
      <w:r w:rsidR="005E0F68">
        <w:instrText xml:space="preserve"> ADDIN ZOTERO_ITEM CSL_CITATION {"citationID":"G5nFPz71","properties":{"formattedCitation":"(Palmer and Walls 2014)","plainCitation":"(Palmer and Walls 2014)","noteIndex":0},"citationItems":[{"id":752,"uris":["http://zotero.org/users/1410454/items/IEWRIU5I"],"uri":["http://zotero.org/users/1410454/items/IEWRIU5I"],"itemData":{"id":752,"type":"paper-conference","title":"Can Benchmarking and Disclosure Laws Provide Incentives for  Energy Efficiency Improvements in Commercial Buildings?","container-title":"Large Opportunities, Complex Challenges: Seizing the Energy Efficiency Opportunity in the Commercial Buildings Sector","event":"MIT Energy Initiative Symposium","abstract":"Abstract\nBuilding energy use accounted for 38 percent of total US CO2 emissions in 2012, and roughly\nhalf of these emissions were attributable to the commercial building sector. In many jurisdictions building\ncodes require minimum levels of energy efficiency in new buildings, but there are few policies directed at\nenergy in older buildings. A new policy that has been adopted in nine U.S. cities is a requirement that\nbuilding owners disclose their annual energy use and benchmark it relative to other buildings. We discuss\nthe motivation for and the provisions of these nascent policies, preliminary analyses of the data that have\nbeen collected so far and how to evaluate whether they are having an effect on energy use and CO2\nemissions. Missing or imperfect information is a contributor to the energy efficiency gap, the finding that\nmany low-cost options for improving energy efficiency fail to be adopted in the private market. These\nnew laws may be an important step in closing the gap in the commercial building sector, but careful\nevaluation of the programs will be essential.","author":[{"family":"Palmer","given":"Karen"},{"family":"Walls","given":"Margaret"}],"issued":{"date-parts":[["2014",5,12]]}}}],"schema":"https://github.com/citation-style-language/schema/raw/master/csl-citation.json"} </w:instrText>
      </w:r>
      <w:r>
        <w:fldChar w:fldCharType="separate"/>
      </w:r>
      <w:r w:rsidRPr="00C23B04">
        <w:rPr>
          <w:rFonts w:ascii="Calibri" w:hAnsi="Calibri" w:cs="Calibri"/>
        </w:rPr>
        <w:t>(Palmer and Walls 2014)</w:t>
      </w:r>
      <w:r>
        <w:fldChar w:fldCharType="end"/>
      </w:r>
      <w:r>
        <w:t xml:space="preserve">. </w:t>
      </w:r>
      <w:r>
        <w:lastRenderedPageBreak/>
        <w:t xml:space="preserve">Benchmarking energy use offers a reference to prioritize buildings which </w:t>
      </w:r>
      <w:r w:rsidR="00BF6CAE">
        <w:t>would benefits the most from up</w:t>
      </w:r>
      <w:r>
        <w:t>grading their systems</w:t>
      </w:r>
      <w:r w:rsidR="00BF6CAE">
        <w:t xml:space="preserve"> </w:t>
      </w:r>
      <w:r>
        <w:fldChar w:fldCharType="begin"/>
      </w:r>
      <w:r w:rsidR="005E0F68">
        <w:instrText xml:space="preserve"> ADDIN ZOTERO_ITEM CSL_CITATION {"citationID":"cJCieXLa","properties":{"formattedCitation":"(Krukowski 2014)","plainCitation":"(Krukowski 2014)","noteIndex":0},"citationItems":[{"id":774,"uris":["http://zotero.org/users/1410454/items/TMBAD2BB"],"uri":["http://zotero.org/users/1410454/items/TMBAD2BB"],"itemData":{"id":774,"type":"report","title":"Creating Value from Benchmarking:  A Utility Perspective","publisher":"IMT","abstract":"Building benchmarking—the act of measuring the energy\nperformance or water consumption of a building, so that its\nperformance can be compared to itself over time, to a norm, or to a\ngroup of peers—is the foundation of a successful energy and water\nmanagement plan. While an increasing number of building owners\nhave integrated it into their energy management strategies and more\njurisdictions now require benchmarking, it has been underutilized\nby utilities and energy efficiency program administrators as a tool to\ndrive cost-effective energy savings.\nSeveral utilities have incorporated benchmarking in energy\nefficiency programs, and innovative utilities have also been\nleveraging city efforts. In the last five years, local governments have\nbegun unlocking vast amounts of data on the energy performance of\nbuildings by requiring large building owners to report the energy\nusage of their buildings. These city benchmarking datasets provide\nutilities with new insights, which can generate breakthrough\nadvancements in energy efficiency program planning and\nimplementation, help utilities comply with state requirements, and\ninform infrastructure investments.\nThese early experiences of cities and utilities exemplify models for\ncreating value from benchmarking.","author":[{"family":"Krukowski","given":"Andrea"}],"issued":{"date-parts":[["2014",8]]}}}],"schema":"https://github.com/citation-style-language/schema/raw/master/csl-citation.json"} </w:instrText>
      </w:r>
      <w:r>
        <w:fldChar w:fldCharType="separate"/>
      </w:r>
      <w:r w:rsidRPr="00C23B04">
        <w:rPr>
          <w:rFonts w:ascii="Calibri" w:hAnsi="Calibri" w:cs="Calibri"/>
        </w:rPr>
        <w:t>(Krukowski 2014)</w:t>
      </w:r>
      <w:r>
        <w:fldChar w:fldCharType="end"/>
      </w:r>
      <w:r>
        <w:t xml:space="preserve"> . However, the number of utilities using public benchmarking data or private benchmarking data is still low.</w:t>
      </w:r>
    </w:p>
    <w:p w14:paraId="42C1EA4B" w14:textId="18BA25CA" w:rsidR="001A4759" w:rsidRDefault="001A4759" w:rsidP="001A4759">
      <w:r>
        <w:t>Benchmarking data can help identify locally what buildings</w:t>
      </w:r>
      <w:r w:rsidR="00BF6CAE">
        <w:t xml:space="preserve"> </w:t>
      </w:r>
      <w:proofErr w:type="gramStart"/>
      <w:r w:rsidR="00BF6CAE">
        <w:t>owners</w:t>
      </w:r>
      <w:r>
        <w:t xml:space="preserve">  </w:t>
      </w:r>
      <w:r w:rsidR="00BF6CAE">
        <w:t>should</w:t>
      </w:r>
      <w:proofErr w:type="gramEnd"/>
      <w:r w:rsidR="00BF6CAE">
        <w:t xml:space="preserve">  invest in</w:t>
      </w:r>
      <w:r>
        <w:t xml:space="preserve"> to improve their energy performance. This can help craft local program that would invest funds where they are the most needed, based on real local data and not national data or assumptions. </w:t>
      </w:r>
      <w:r>
        <w:fldChar w:fldCharType="begin"/>
      </w:r>
      <w:r w:rsidR="005E0F68">
        <w:instrText xml:space="preserve"> ADDIN ZOTERO_ITEM CSL_CITATION {"citationID":"chE7KREg","properties":{"formattedCitation":"(Krukowski 2014)","plainCitation":"(Krukowski 2014)","noteIndex":0},"citationItems":[{"id":774,"uris":["http://zotero.org/users/1410454/items/TMBAD2BB"],"uri":["http://zotero.org/users/1410454/items/TMBAD2BB"],"itemData":{"id":774,"type":"report","title":"Creating Value from Benchmarking:  A Utility Perspective","publisher":"IMT","abstract":"Building benchmarking—the act of measuring the energy\nperformance or water consumption of a building, so that its\nperformance can be compared to itself over time, to a norm, or to a\ngroup of peers—is the foundation of a successful energy and water\nmanagement plan. While an increasing number of building owners\nhave integrated it into their energy management strategies and more\njurisdictions now require benchmarking, it has been underutilized\nby utilities and energy efficiency program administrators as a tool to\ndrive cost-effective energy savings.\nSeveral utilities have incorporated benchmarking in energy\nefficiency programs, and innovative utilities have also been\nleveraging city efforts. In the last five years, local governments have\nbegun unlocking vast amounts of data on the energy performance of\nbuildings by requiring large building owners to report the energy\nusage of their buildings. These city benchmarking datasets provide\nutilities with new insights, which can generate breakthrough\nadvancements in energy efficiency program planning and\nimplementation, help utilities comply with state requirements, and\ninform infrastructure investments.\nThese early experiences of cities and utilities exemplify models for\ncreating value from benchmarking.","author":[{"family":"Krukowski","given":"Andrea"}],"issued":{"date-parts":[["2014",8]]}}}],"schema":"https://github.com/citation-style-language/schema/raw/master/csl-citation.json"} </w:instrText>
      </w:r>
      <w:r>
        <w:fldChar w:fldCharType="separate"/>
      </w:r>
      <w:r w:rsidRPr="00C23B04">
        <w:rPr>
          <w:rFonts w:ascii="Calibri" w:hAnsi="Calibri" w:cs="Calibri"/>
        </w:rPr>
        <w:t>(Krukowski 2014)</w:t>
      </w:r>
      <w:r>
        <w:fldChar w:fldCharType="end"/>
      </w:r>
    </w:p>
    <w:p w14:paraId="31B2E1DA" w14:textId="4D672D5E" w:rsidR="001A4759" w:rsidRDefault="001A4759" w:rsidP="001A4759">
      <w:r>
        <w:t xml:space="preserve">Finally Benchmarking can be a supplemental data set to traditional evaluation methods </w:t>
      </w:r>
      <w:r>
        <w:fldChar w:fldCharType="begin"/>
      </w:r>
      <w:r w:rsidR="005E0F68">
        <w:instrText xml:space="preserve"> ADDIN ZOTERO_ITEM CSL_CITATION {"citationID":"IStQXcEi","properties":{"formattedCitation":"(Krukowski 2014)","plainCitation":"(Krukowski 2014)","noteIndex":0},"citationItems":[{"id":774,"uris":["http://zotero.org/users/1410454/items/TMBAD2BB"],"uri":["http://zotero.org/users/1410454/items/TMBAD2BB"],"itemData":{"id":774,"type":"report","title":"Creating Value from Benchmarking:  A Utility Perspective","publisher":"IMT","abstract":"Building benchmarking—the act of measuring the energy\nperformance or water consumption of a building, so that its\nperformance can be compared to itself over time, to a norm, or to a\ngroup of peers—is the foundation of a successful energy and water\nmanagement plan. While an increasing number of building owners\nhave integrated it into their energy management strategies and more\njurisdictions now require benchmarking, it has been underutilized\nby utilities and energy efficiency program administrators as a tool to\ndrive cost-effective energy savings.\nSeveral utilities have incorporated benchmarking in energy\nefficiency programs, and innovative utilities have also been\nleveraging city efforts. In the last five years, local governments have\nbegun unlocking vast amounts of data on the energy performance of\nbuildings by requiring large building owners to report the energy\nusage of their buildings. These city benchmarking datasets provide\nutilities with new insights, which can generate breakthrough\nadvancements in energy efficiency program planning and\nimplementation, help utilities comply with state requirements, and\ninform infrastructure investments.\nThese early experiences of cities and utilities exemplify models for\ncreating value from benchmarking.","author":[{"family":"Krukowski","given":"Andrea"}],"issued":{"date-parts":[["2014",8]]}}}],"schema":"https://github.com/citation-style-language/schema/raw/master/csl-citation.json"} </w:instrText>
      </w:r>
      <w:r>
        <w:fldChar w:fldCharType="separate"/>
      </w:r>
      <w:r w:rsidRPr="00C23B04">
        <w:rPr>
          <w:rFonts w:ascii="Calibri" w:hAnsi="Calibri" w:cs="Calibri"/>
        </w:rPr>
        <w:t>(Krukowski 2014)</w:t>
      </w:r>
      <w:r>
        <w:fldChar w:fldCharType="end"/>
      </w:r>
      <w:r w:rsidR="00775903">
        <w:t>.</w:t>
      </w:r>
    </w:p>
    <w:p w14:paraId="368F42EF" w14:textId="77777777" w:rsidR="001A4759" w:rsidRPr="00C23B04" w:rsidRDefault="001A4759" w:rsidP="00D407A7">
      <w:pPr>
        <w:pStyle w:val="Heading3"/>
      </w:pPr>
      <w:r w:rsidRPr="00C23B04">
        <w:t>Benefit to Cities:</w:t>
      </w:r>
    </w:p>
    <w:p w14:paraId="3107A364" w14:textId="77777777" w:rsidR="001A4759" w:rsidRDefault="001A4759" w:rsidP="001A4759">
      <w:r>
        <w:t xml:space="preserve">More and more cities are completing a </w:t>
      </w:r>
      <w:proofErr w:type="spellStart"/>
      <w:r>
        <w:t>Green house</w:t>
      </w:r>
      <w:proofErr w:type="spellEnd"/>
      <w:r>
        <w:t xml:space="preserve"> gas emission inventories and building benchmarking information </w:t>
      </w:r>
      <w:proofErr w:type="gramStart"/>
      <w:r>
        <w:t>can be used</w:t>
      </w:r>
      <w:proofErr w:type="gramEnd"/>
      <w:r>
        <w:t xml:space="preserve"> to estimate local emission from the building stock.</w:t>
      </w:r>
    </w:p>
    <w:p w14:paraId="0D1401A2" w14:textId="1AAA433F" w:rsidR="001A4759" w:rsidRDefault="001A4759" w:rsidP="001A4759">
      <w:r>
        <w:t>Benchmarking provide new insight in the quality, age and potential issue of the local building stock. This data can help tailor policy to support the local building stock to become more energy efficient</w:t>
      </w:r>
      <w:r w:rsidR="000C4BA1">
        <w:t xml:space="preserve"> </w:t>
      </w:r>
      <w:r w:rsidR="000C4BA1" w:rsidRPr="000C4BA1">
        <w:rPr>
          <w:rFonts w:ascii="Calibri" w:hAnsi="Calibri" w:cs="Calibri"/>
        </w:rPr>
        <w:t>(</w:t>
      </w:r>
      <w:proofErr w:type="spellStart"/>
      <w:r w:rsidR="000C4BA1" w:rsidRPr="000C4BA1">
        <w:rPr>
          <w:rFonts w:ascii="Calibri" w:hAnsi="Calibri" w:cs="Calibri"/>
        </w:rPr>
        <w:t>Krukowski</w:t>
      </w:r>
      <w:proofErr w:type="spellEnd"/>
      <w:r w:rsidR="000C4BA1" w:rsidRPr="000C4BA1">
        <w:rPr>
          <w:rFonts w:ascii="Calibri" w:hAnsi="Calibri" w:cs="Calibri"/>
        </w:rPr>
        <w:t xml:space="preserve"> 2014)</w:t>
      </w:r>
      <w:r>
        <w:t>.</w:t>
      </w:r>
    </w:p>
    <w:p w14:paraId="538F5035" w14:textId="77777777" w:rsidR="001A4759" w:rsidRDefault="001A4759" w:rsidP="001A4759"/>
    <w:p w14:paraId="3C04EF79" w14:textId="77777777" w:rsidR="001A4759" w:rsidRPr="00C23B04" w:rsidRDefault="001A4759" w:rsidP="00D407A7">
      <w:pPr>
        <w:pStyle w:val="Heading3"/>
      </w:pPr>
      <w:r w:rsidRPr="00C23B04">
        <w:t>Benefit to Tenants:</w:t>
      </w:r>
    </w:p>
    <w:p w14:paraId="2463D637" w14:textId="694B9556" w:rsidR="001A4759" w:rsidRDefault="000D2D70" w:rsidP="001A4759">
      <w:r>
        <w:t xml:space="preserve"> A study conducted by the Costar group revealed that t</w:t>
      </w:r>
      <w:r w:rsidR="001A4759">
        <w:t>enants are will</w:t>
      </w:r>
      <w:r>
        <w:t>ing to pay more to occupy LEED or ENERGYSTAR buildings</w:t>
      </w:r>
      <w:r w:rsidR="001A4759">
        <w:t xml:space="preserve"> and value spaces where their utilities can be lowered</w:t>
      </w:r>
      <w:r>
        <w:t xml:space="preserve"> </w:t>
      </w:r>
      <w:r>
        <w:fldChar w:fldCharType="begin"/>
      </w:r>
      <w:r>
        <w:instrText xml:space="preserve"> ADDIN ZOTERO_ITEM CSL_CITATION {"citationID":"Cdnx46xq","properties":{"formattedCitation":"(Fuerst and McAllister 2009)","plainCitation":"(Fuerst and McAllister 2009)","noteIndex":0},"citationItems":[{"id":1473,"uris":["http://zotero.org/users/1410454/items/5EDMW6ZJ"],"uri":["http://zotero.org/users/1410454/items/5EDMW6ZJ"],"itemData":{"id":1473,"type":"article-journal","title":"An Investigation of the Effect of Eco-Labeling on Office Occupancy Rates","container-title":"Journal of Sustainable Real Estate","page":"49-64","volume":"1","issue":"1","source":"aresjournals.org (Atypon)","abstract":"This paper investigates the effect of eco-labeling on the occupancy rates of commercial offices in the United States. The occupancy rates of LEED and ENERGY STAR-labeled offices are compared to a sample of non-labeled offices. Using OLS and quantile regression analyses, a significant positive relationship is found between occupancy rate and the eco-label. Controlling for differences in age, height, building class, and quality, the results suggest that occupancy rates are approximately 8% higher in LEED-labeled offices and 3% higher in ENERGY STAR-labeled offices. However, for ENERGY STAR-labeled offices, effects are concentrated in certain market segments.","DOI":"10.5555/jsre.1.1.wuk75p1017qhv214","ISSN":"1949-8276","journalAbbreviation":"Journal of Sustainable Real Estate","author":[{"family":"Fuerst","given":"Franz"},{"family":"McAllister","given":"Patrick"}],"issued":{"date-parts":[["2009",1,1]]}}}],"schema":"https://github.com/citation-style-language/schema/raw/master/csl-citation.json"} </w:instrText>
      </w:r>
      <w:r>
        <w:fldChar w:fldCharType="separate"/>
      </w:r>
      <w:r w:rsidRPr="000D2D70">
        <w:rPr>
          <w:rFonts w:ascii="Calibri" w:hAnsi="Calibri" w:cs="Calibri"/>
        </w:rPr>
        <w:t>(Fuerst and McAllister 2009)</w:t>
      </w:r>
      <w:r>
        <w:fldChar w:fldCharType="end"/>
      </w:r>
      <w:r w:rsidR="001A4759">
        <w:t>. Transparency about energy use can assist them in deciding what building to select when searching the real estate market for a new space</w:t>
      </w:r>
      <w:r>
        <w:t>.</w:t>
      </w:r>
    </w:p>
    <w:p w14:paraId="3D0DDBFB" w14:textId="77777777" w:rsidR="004C05C6" w:rsidRDefault="004C05C6">
      <w:pPr>
        <w:rPr>
          <w:rFonts w:asciiTheme="majorHAnsi" w:eastAsiaTheme="majorEastAsia" w:hAnsiTheme="majorHAnsi" w:cstheme="majorBidi"/>
          <w:color w:val="365F91" w:themeColor="accent1" w:themeShade="BF"/>
          <w:sz w:val="32"/>
          <w:szCs w:val="32"/>
        </w:rPr>
      </w:pPr>
      <w:r>
        <w:br w:type="page"/>
      </w:r>
    </w:p>
    <w:p w14:paraId="63DAA423" w14:textId="73E866BE" w:rsidR="00725E3B" w:rsidRDefault="00775903" w:rsidP="00775903">
      <w:pPr>
        <w:pStyle w:val="Heading1"/>
      </w:pPr>
      <w:bookmarkStart w:id="12" w:name="_Toc532200746"/>
      <w:r>
        <w:lastRenderedPageBreak/>
        <w:t>Research</w:t>
      </w:r>
      <w:bookmarkEnd w:id="12"/>
    </w:p>
    <w:p w14:paraId="35BA77F1" w14:textId="77777777" w:rsidR="00BF6CAE" w:rsidRPr="00BF6CAE" w:rsidRDefault="00BF6CAE" w:rsidP="00BF6CAE"/>
    <w:p w14:paraId="510DBC1E" w14:textId="11EAC9A6" w:rsidR="00775903" w:rsidRDefault="00775903" w:rsidP="00775903">
      <w:pPr>
        <w:pStyle w:val="Heading2"/>
        <w:numPr>
          <w:ilvl w:val="0"/>
          <w:numId w:val="12"/>
        </w:numPr>
      </w:pPr>
      <w:bookmarkStart w:id="13" w:name="_Toc532200747"/>
      <w:r>
        <w:t>Research gap</w:t>
      </w:r>
      <w:r w:rsidR="00272D99">
        <w:t>s</w:t>
      </w:r>
      <w:bookmarkEnd w:id="13"/>
    </w:p>
    <w:p w14:paraId="0F909DE7" w14:textId="349B0380" w:rsidR="00775903" w:rsidRDefault="000D2D70" w:rsidP="00775903">
      <w:r>
        <w:t>Despite</w:t>
      </w:r>
      <w:r w:rsidR="00775903">
        <w:t xml:space="preserve"> many reports, </w:t>
      </w:r>
      <w:proofErr w:type="gramStart"/>
      <w:r w:rsidR="00775903">
        <w:t>guides  and</w:t>
      </w:r>
      <w:proofErr w:type="gramEnd"/>
      <w:r w:rsidR="00775903">
        <w:t xml:space="preserve"> lessons learned published  since 2008, there is very little quantification of the impact of benchmarking ordinances and their value.</w:t>
      </w:r>
      <w:r w:rsidR="00D804E5">
        <w:t xml:space="preserve"> </w:t>
      </w:r>
    </w:p>
    <w:p w14:paraId="4AF212B2" w14:textId="757C4CA1" w:rsidR="00D804E5" w:rsidRDefault="00D804E5" w:rsidP="00775903">
      <w:r>
        <w:t xml:space="preserve">During our participation in the Energy Data Accelerator, we collected evidence that benchmarking ordinance were creating a dialogue that generated best practices for governments and utilities </w:t>
      </w:r>
      <w:r>
        <w:fldChar w:fldCharType="begin"/>
      </w:r>
      <w:r>
        <w:instrText xml:space="preserve"> ADDIN ZOTERO_ITEM CSL_CITATION {"citationID":"OokdUWqr","properties":{"formattedCitation":"(Shah et al. 2016)","plainCitation":"(Shah et al. 2016)","noteIndex":0},"citationItems":[{"id":1445,"uris":["http://zotero.org/users/1410454/items/MGILBUCW"],"uri":["http://zotero.org/users/1410454/items/MGILBUCW"],"itemData":{"id":1445,"type":"report","title":"DOE Voluntary Partnership Program with Utilities and Local Governments Supports the Design of New Data Access Solutions","publisher":"Washington, D.C.: American Council for an Energy-Efficient Economy (ACEEE)","source":"www.osti.gov","abstract":"The U.S. Department of Energy's Office of Scientific and Technical Information","URL":"https://www.osti.gov/biblio/1324397","number":"NREL/CP-6A20-66233","language":"English","author":[{"family":"Shah","given":"Monisha"},{"family":"Burr","given":"Andrew"},{"family":"Schulte","given":"Andrew"},{"family":"Field-Macumber","given":"Kristin"},{"family":"Cochran-Hameen","given":"Erica"},{"family":"Marion","given":"Flore"}],"issued":{"date-parts":[["2016",8,26]]},"accessed":{"date-parts":[["2018",12,6]]}}}],"schema":"https://github.com/citation-style-language/schema/raw/master/csl-citation.json"} </w:instrText>
      </w:r>
      <w:r>
        <w:fldChar w:fldCharType="separate"/>
      </w:r>
      <w:r w:rsidRPr="00D804E5">
        <w:rPr>
          <w:rFonts w:ascii="Calibri" w:hAnsi="Calibri" w:cs="Calibri"/>
        </w:rPr>
        <w:t>(Shah et al. 2016)</w:t>
      </w:r>
      <w:r>
        <w:fldChar w:fldCharType="end"/>
      </w:r>
      <w:r>
        <w:t>.</w:t>
      </w:r>
    </w:p>
    <w:p w14:paraId="3C94B68C" w14:textId="7381D241" w:rsidR="00272D99" w:rsidRDefault="00272D99" w:rsidP="00775903">
      <w:r>
        <w:t>The deliberation</w:t>
      </w:r>
      <w:r w:rsidR="000D2D70">
        <w:t>s</w:t>
      </w:r>
      <w:r>
        <w:t xml:space="preserve"> around benchmarking </w:t>
      </w:r>
      <w:r w:rsidR="000D2D70">
        <w:t>seem</w:t>
      </w:r>
      <w:r w:rsidR="00BF6CAE">
        <w:t>ed</w:t>
      </w:r>
      <w:r w:rsidR="000D2D70">
        <w:t xml:space="preserve"> to have created</w:t>
      </w:r>
      <w:r>
        <w:t xml:space="preserve"> a momentum that lead to additional effort</w:t>
      </w:r>
      <w:r w:rsidR="000D2D70">
        <w:t>s</w:t>
      </w:r>
      <w:r>
        <w:t xml:space="preserve"> toward energy efficiency but there is no </w:t>
      </w:r>
      <w:r w:rsidR="000D2D70">
        <w:t>documentations of the link between benchmarking ordinances and increased policy and energy efficiency initiatives.</w:t>
      </w:r>
    </w:p>
    <w:p w14:paraId="51C7D1B2" w14:textId="018F4691" w:rsidR="00775903" w:rsidRDefault="00775903" w:rsidP="00775903">
      <w:r>
        <w:t xml:space="preserve">The </w:t>
      </w:r>
      <w:r w:rsidR="00BF6CAE">
        <w:t xml:space="preserve">most </w:t>
      </w:r>
      <w:r>
        <w:t>used</w:t>
      </w:r>
      <w:r w:rsidR="00BF6CAE">
        <w:t xml:space="preserve"> argument</w:t>
      </w:r>
      <w:r>
        <w:t xml:space="preserve"> to justify mandating benchmarking</w:t>
      </w:r>
      <w:r w:rsidR="001C3C62">
        <w:t xml:space="preserve"> </w:t>
      </w:r>
      <w:r w:rsidR="00BF6CAE">
        <w:t xml:space="preserve">is a percentage of savings </w:t>
      </w:r>
      <w:r>
        <w:t>calculated by EPA based on voluntary benchmarking. Their analysis showed that when continuously benchmarking over 3 years or more</w:t>
      </w:r>
      <w:r w:rsidR="00FC1D7D">
        <w:t>, building owners would see an a</w:t>
      </w:r>
      <w:r>
        <w:t>verage of 2.4%</w:t>
      </w:r>
      <w:r w:rsidR="00FC1D7D">
        <w:t xml:space="preserve"> of energy saving</w:t>
      </w:r>
      <w:r w:rsidR="000D2D70">
        <w:t>s</w:t>
      </w:r>
      <w:r w:rsidR="00671B2F">
        <w:fldChar w:fldCharType="begin"/>
      </w:r>
      <w:r w:rsidR="00671B2F">
        <w:instrText xml:space="preserve"> ADDIN ZOTERO_ITEM CSL_CITATION {"citationID":"rGyDBN6n","properties":{"formattedCitation":"(EPA 2012)","plainCitation":"(EPA 2012)","noteIndex":0},"citationItems":[{"id":743,"uris":["http://zotero.org/users/1410454/items/FZUTX4EB"],"uri":["http://zotero.org/users/1410454/items/FZUTX4EB"],"itemData":{"id":743,"type":"report","title":"Benchmarking and Energy Savings","collection-title":"Portfolio Manager  Data Trend","publisher":"Environmental Protection Agency","author":[{"literal":"EPA"}],"issued":{"date-parts":[["2012"]]}}}],"schema":"https://github.com/citation-style-language/schema/raw/master/csl-citation.json"} </w:instrText>
      </w:r>
      <w:r w:rsidR="00671B2F">
        <w:fldChar w:fldCharType="separate"/>
      </w:r>
      <w:r w:rsidR="00671B2F" w:rsidRPr="00671B2F">
        <w:rPr>
          <w:rFonts w:ascii="Calibri" w:hAnsi="Calibri" w:cs="Calibri"/>
        </w:rPr>
        <w:t>(EPA 2012)</w:t>
      </w:r>
      <w:r w:rsidR="00671B2F">
        <w:fldChar w:fldCharType="end"/>
      </w:r>
      <w:r w:rsidR="00FC1D7D">
        <w:t xml:space="preserve">. This number </w:t>
      </w:r>
      <w:proofErr w:type="gramStart"/>
      <w:r w:rsidR="00FC1D7D">
        <w:t>is based</w:t>
      </w:r>
      <w:proofErr w:type="gramEnd"/>
      <w:r w:rsidR="00FC1D7D">
        <w:t xml:space="preserve"> on building owner</w:t>
      </w:r>
      <w:r w:rsidR="00595365">
        <w:t>s</w:t>
      </w:r>
      <w:r w:rsidR="00FC1D7D">
        <w:t xml:space="preserve"> willfully participating in a benchmarking process and does not include</w:t>
      </w:r>
      <w:r w:rsidR="00BF6CAE">
        <w:t xml:space="preserve"> both the mandatory and</w:t>
      </w:r>
      <w:r w:rsidR="00FC1D7D">
        <w:t xml:space="preserve"> the transparency component of the ordinance.</w:t>
      </w:r>
    </w:p>
    <w:p w14:paraId="7D4500C9" w14:textId="43E2771C" w:rsidR="00595365" w:rsidRDefault="00036865" w:rsidP="00595365">
      <w:r>
        <w:t xml:space="preserve">Only </w:t>
      </w:r>
      <w:proofErr w:type="gramStart"/>
      <w:r w:rsidR="00FC1D7D">
        <w:t>2</w:t>
      </w:r>
      <w:proofErr w:type="gramEnd"/>
      <w:r w:rsidR="00FC1D7D">
        <w:t xml:space="preserve"> studies used a control group to compare the impact of such ordinances on the building stock. The first one </w:t>
      </w:r>
      <w:proofErr w:type="gramStart"/>
      <w:r w:rsidR="00FC1D7D">
        <w:t>was conducted</w:t>
      </w:r>
      <w:proofErr w:type="gramEnd"/>
      <w:r w:rsidR="00FC1D7D">
        <w:t xml:space="preserve"> on the benchmarking dataset of New York, NY.  The date showed a</w:t>
      </w:r>
      <w:r w:rsidR="00671B2F">
        <w:t xml:space="preserve"> 6% reduction after 3 years and a</w:t>
      </w:r>
      <w:r w:rsidR="00A013D2">
        <w:t xml:space="preserve"> 14 % reduction in EUI after 4 </w:t>
      </w:r>
      <w:r w:rsidR="00FC1D7D">
        <w:t xml:space="preserve">years of </w:t>
      </w:r>
      <w:r w:rsidR="00671B2F">
        <w:t xml:space="preserve">policy implementation </w:t>
      </w:r>
      <w:r w:rsidR="00671B2F" w:rsidRPr="00671B2F">
        <w:rPr>
          <w:rFonts w:ascii="Calibri" w:hAnsi="Calibri" w:cs="Calibri"/>
        </w:rPr>
        <w:t>(</w:t>
      </w:r>
      <w:proofErr w:type="spellStart"/>
      <w:r w:rsidR="00671B2F" w:rsidRPr="00671B2F">
        <w:rPr>
          <w:rFonts w:ascii="Calibri" w:hAnsi="Calibri" w:cs="Calibri"/>
        </w:rPr>
        <w:t>Meng</w:t>
      </w:r>
      <w:proofErr w:type="spellEnd"/>
      <w:r w:rsidR="00671B2F" w:rsidRPr="00671B2F">
        <w:rPr>
          <w:rFonts w:ascii="Calibri" w:hAnsi="Calibri" w:cs="Calibri"/>
        </w:rPr>
        <w:t>, Hsu, and Han 2017</w:t>
      </w:r>
      <w:proofErr w:type="gramStart"/>
      <w:r w:rsidR="00671B2F" w:rsidRPr="00671B2F">
        <w:rPr>
          <w:rFonts w:ascii="Calibri" w:hAnsi="Calibri" w:cs="Calibri"/>
        </w:rPr>
        <w:t>)</w:t>
      </w:r>
      <w:r w:rsidR="00671B2F">
        <w:t xml:space="preserve"> </w:t>
      </w:r>
      <w:r w:rsidR="00FC1D7D">
        <w:t>.</w:t>
      </w:r>
      <w:proofErr w:type="gramEnd"/>
      <w:r w:rsidR="00FC1D7D">
        <w:t xml:space="preserve"> The second study looked at utility expenditure in a Real Estate </w:t>
      </w:r>
      <w:r w:rsidR="00595365">
        <w:t>fiduciary association</w:t>
      </w:r>
      <w:r w:rsidR="00FC1D7D">
        <w:t xml:space="preserve"> database and identified a reduction of 3% in utility expenditure.</w:t>
      </w:r>
      <w:r w:rsidR="00595365">
        <w:t xml:space="preserve"> </w:t>
      </w:r>
      <w:r w:rsidR="00671B2F">
        <w:fldChar w:fldCharType="begin"/>
      </w:r>
      <w:r w:rsidR="00671B2F">
        <w:instrText xml:space="preserve"> ADDIN ZOTERO_ITEM CSL_CITATION {"citationID":"nPhG4FQg","properties":{"formattedCitation":"(Palmer and Walls 2014)","plainCitation":"(Palmer and Walls 2014)","noteIndex":0},"citationItems":[{"id":752,"uris":["http://zotero.org/users/1410454/items/IEWRIU5I"],"uri":["http://zotero.org/users/1410454/items/IEWRIU5I"],"itemData":{"id":752,"type":"paper-conference","title":"Can Benchmarking and Disclosure Laws Provide Incentives for  Energy Efficiency Improvements in Commercial Buildings?","container-title":"Large Opportunities, Complex Challenges: Seizing the Energy Efficiency Opportunity in the Commercial Buildings Sector","event":"MIT Energy Initiative Symposium","abstract":"Abstract\nBuilding energy use accounted for 38 percent of total US CO2 emissions in 2012, and roughly\nhalf of these emissions were attributable to the commercial building sector. In many jurisdictions building\ncodes require minimum levels of energy efficiency in new buildings, but there are few policies directed at\nenergy in older buildings. A new policy that has been adopted in nine U.S. cities is a requirement that\nbuilding owners disclose their annual energy use and benchmark it relative to other buildings. We discuss\nthe motivation for and the provisions of these nascent policies, preliminary analyses of the data that have\nbeen collected so far and how to evaluate whether they are having an effect on energy use and CO2\nemissions. Missing or imperfect information is a contributor to the energy efficiency gap, the finding that\nmany low-cost options for improving energy efficiency fail to be adopted in the private market. These\nnew laws may be an important step in closing the gap in the commercial building sector, but careful\nevaluation of the programs will be essential.","author":[{"family":"Palmer","given":"Karen"},{"family":"Walls","given":"Margaret"}],"issued":{"date-parts":[["2014",5,12]]}}}],"schema":"https://github.com/citation-style-language/schema/raw/master/csl-citation.json"} </w:instrText>
      </w:r>
      <w:r w:rsidR="00671B2F">
        <w:fldChar w:fldCharType="separate"/>
      </w:r>
      <w:r w:rsidR="00671B2F" w:rsidRPr="00671B2F">
        <w:rPr>
          <w:rFonts w:ascii="Calibri" w:hAnsi="Calibri" w:cs="Calibri"/>
        </w:rPr>
        <w:t>(Palmer and Walls 2014)</w:t>
      </w:r>
      <w:r w:rsidR="00671B2F">
        <w:fldChar w:fldCharType="end"/>
      </w:r>
      <w:r w:rsidR="00FC1D7D">
        <w:t xml:space="preserve">. </w:t>
      </w:r>
      <w:r w:rsidR="00BF6CAE">
        <w:t>Other quantifiers are</w:t>
      </w:r>
      <w:r w:rsidR="001C3C62">
        <w:t xml:space="preserve"> percentage of actions taken</w:t>
      </w:r>
      <w:r w:rsidR="00BF6CAE">
        <w:t xml:space="preserve"> based on survey of building owners and utility </w:t>
      </w:r>
      <w:r w:rsidR="001C3C62">
        <w:t>customers</w:t>
      </w:r>
      <w:r w:rsidR="001C3C62">
        <w:fldChar w:fldCharType="begin"/>
      </w:r>
      <w:r w:rsidR="001C3C62">
        <w:instrText xml:space="preserve"> ADDIN ZOTERO_ITEM CSL_CITATION {"citationID":"0L1X8hAU","properties":{"formattedCitation":"(NEMA 2017)","plainCitation":"(NEMA 2017)","noteIndex":0},"citationItems":[{"id":1452,"uris":["http://zotero.org/users/1410454/items/C43G5GKP"],"uri":["http://zotero.org/users/1410454/items/C43G5GKP"],"itemData":{"id":1452,"type":"webpage","title":"Energy Benchmarking Policies Lead to Installation of Energy-Saving Technologies - NEMA","URL":"https://www.nema.org/news/Pages/Energy-Benchmarking-Policies-Lead-to-Installation-of-Energy-Saving-Technologies.aspx","author":[{"family":"NEMA","given":""}],"issued":{"date-parts":[["2017"]]},"accessed":{"date-parts":[["2018",12,6]]}}}],"schema":"https://github.com/citation-style-language/schema/raw/master/csl-citation.json"} </w:instrText>
      </w:r>
      <w:r w:rsidR="001C3C62">
        <w:fldChar w:fldCharType="separate"/>
      </w:r>
      <w:r w:rsidR="001C3C62" w:rsidRPr="001C3C62">
        <w:rPr>
          <w:rFonts w:ascii="Calibri" w:hAnsi="Calibri" w:cs="Calibri"/>
        </w:rPr>
        <w:t>(NEMA 2017)</w:t>
      </w:r>
      <w:r w:rsidR="001C3C62">
        <w:fldChar w:fldCharType="end"/>
      </w:r>
      <w:r w:rsidR="001C3C62">
        <w:t xml:space="preserve"> </w:t>
      </w:r>
      <w:r w:rsidR="001C3C62">
        <w:fldChar w:fldCharType="begin"/>
      </w:r>
      <w:r w:rsidR="001C3C62">
        <w:instrText xml:space="preserve"> ADDIN ZOTERO_ITEM CSL_CITATION {"citationID":"AwZUDUta","properties":{"formattedCitation":"(NMR group 2012)","plainCitation":"(NMR group 2012)","noteIndex":0},"citationItems":[{"id":1460,"uris":["http://zotero.org/users/1410454/items/2RJF8HRG"],"uri":["http://zotero.org/users/1410454/items/2RJF8HRG"],"itemData":{"id":1460,"type":"article-journal","title":"Statewide Benchmarking Process Evaluation","page":"200","source":"Zotero","language":"en","author":[{"family":"NMR group","given":"Howard"}],"issued":{"date-parts":[["2012"]]}}}],"schema":"https://github.com/citation-style-language/schema/raw/master/csl-citation.json"} </w:instrText>
      </w:r>
      <w:r w:rsidR="001C3C62">
        <w:fldChar w:fldCharType="separate"/>
      </w:r>
      <w:r w:rsidR="001C3C62" w:rsidRPr="001C3C62">
        <w:rPr>
          <w:rFonts w:ascii="Calibri" w:hAnsi="Calibri" w:cs="Calibri"/>
        </w:rPr>
        <w:t>(NMR group 2012)</w:t>
      </w:r>
      <w:r w:rsidR="001C3C62">
        <w:fldChar w:fldCharType="end"/>
      </w:r>
      <w:r w:rsidR="001C3C62">
        <w:t>.</w:t>
      </w:r>
    </w:p>
    <w:p w14:paraId="1D647D72" w14:textId="6166BA0D" w:rsidR="001C3C62" w:rsidRDefault="001C3C62" w:rsidP="00595365">
      <w:r>
        <w:t>Regularly,</w:t>
      </w:r>
      <w:r w:rsidR="00A013D2">
        <w:t xml:space="preserve"> non-</w:t>
      </w:r>
      <w:r>
        <w:t xml:space="preserve">profits such as local regional Energy efficiency organizations creates </w:t>
      </w:r>
      <w:proofErr w:type="spellStart"/>
      <w:r>
        <w:t>a</w:t>
      </w:r>
      <w:proofErr w:type="spellEnd"/>
      <w:r>
        <w:t xml:space="preserve"> overview report with updated recommendation best on the benchmarking process in new cities, but those do not contains new analysis </w:t>
      </w:r>
      <w:r>
        <w:fldChar w:fldCharType="begin"/>
      </w:r>
      <w:r>
        <w:instrText xml:space="preserve"> ADDIN ZOTERO_ITEM CSL_CITATION {"citationID":"2vhRLIEz","properties":{"formattedCitation":"(NEEP 2013)","plainCitation":"(NEEP 2013)","noteIndex":0},"citationItems":[{"id":1458,"uris":["http://zotero.org/users/1410454/items/4U2TBU68"],"uri":["http://zotero.org/users/1410454/items/4U2TBU68"],"itemData":{"id":1458,"type":"webpage","title":"Building Energy Rating and Disclosure Policies Update and Lessons From the Field","URL":"https://neep.org/sites/default/files/resources/BER%20Supplement_FINAL%20DRAFT_2-25-13.pdf","author":[{"family":"NEEP","given":""}],"issued":{"date-parts":[["2013"]]},"accessed":{"date-parts":[["2018",12,2]]}}}],"schema":"https://github.com/citation-style-language/schema/raw/master/csl-citation.json"} </w:instrText>
      </w:r>
      <w:r>
        <w:fldChar w:fldCharType="separate"/>
      </w:r>
      <w:r w:rsidRPr="001C3C62">
        <w:rPr>
          <w:rFonts w:ascii="Calibri" w:hAnsi="Calibri" w:cs="Calibri"/>
        </w:rPr>
        <w:t>(NEEP 2013)</w:t>
      </w:r>
      <w:r>
        <w:fldChar w:fldCharType="end"/>
      </w:r>
      <w:r>
        <w:t xml:space="preserve"> </w:t>
      </w:r>
      <w:r>
        <w:fldChar w:fldCharType="begin"/>
      </w:r>
      <w:r>
        <w:instrText xml:space="preserve"> ADDIN ZOTERO_ITEM CSL_CITATION {"citationID":"L6RxILn0","properties":{"formattedCitation":"(Coleman and Kauffman 2014)","plainCitation":"(Coleman and Kauffman 2014)","noteIndex":0},"citationItems":[{"id":1457,"uris":["http://zotero.org/users/1410454/items/CTL42CUS"],"uri":["http://zotero.org/users/1410454/items/CTL42CUS"],"itemData":{"id":1457,"type":"article-journal","title":"TRACKING ENERGY TO TAKE ACTION:","page":"28","source":"Zotero","language":"en","author":[{"family":"Coleman","given":"Patrick"},{"family":"Kauffman","given":"Brian"}],"issued":{"date-parts":[["2014"]]}}}],"schema":"https://github.com/citation-style-language/schema/raw/master/csl-citation.json"} </w:instrText>
      </w:r>
      <w:r>
        <w:fldChar w:fldCharType="separate"/>
      </w:r>
      <w:r w:rsidRPr="001C3C62">
        <w:rPr>
          <w:rFonts w:ascii="Calibri" w:hAnsi="Calibri" w:cs="Calibri"/>
        </w:rPr>
        <w:t>(Coleman and Kauffman 2014)</w:t>
      </w:r>
      <w:r>
        <w:fldChar w:fldCharType="end"/>
      </w:r>
      <w:r>
        <w:t xml:space="preserve">. Cities published their progress and these reports provide an interesting incite in the success of the policies but this report do not offer a control groups to compare with </w:t>
      </w:r>
      <w:r>
        <w:fldChar w:fldCharType="begin"/>
      </w:r>
      <w:r>
        <w:instrText xml:space="preserve"> ADDIN ZOTERO_ITEM CSL_CITATION {"citationID":"BFE3f1B1","properties":{"formattedCitation":"(DOE 2015)","plainCitation":"(DOE 2015)","noteIndex":0},"citationItems":[{"id":1429,"uris":["http://zotero.org/users/1410454/items/MFA84B5U"],"uri":["http://zotero.org/users/1410454/items/MFA84B5U"],"itemData":{"id":1429,"type":"article-journal","title":"New York City Benchmarking and Transparency Policy Impact Evaluation Report","page":"74","source":"Zotero","language":"en","author":[{"family":"DOE","given":""}],"issued":{"date-parts":[["2015"]]}}}],"schema":"https://github.com/citation-style-language/schema/raw/master/csl-citation.json"} </w:instrText>
      </w:r>
      <w:r>
        <w:fldChar w:fldCharType="separate"/>
      </w:r>
      <w:r w:rsidRPr="001C3C62">
        <w:rPr>
          <w:rFonts w:ascii="Calibri" w:hAnsi="Calibri" w:cs="Calibri"/>
        </w:rPr>
        <w:t>(DOE 2015)</w:t>
      </w:r>
      <w:r>
        <w:fldChar w:fldCharType="end"/>
      </w:r>
      <w:r>
        <w:t xml:space="preserve"> </w:t>
      </w:r>
      <w:r>
        <w:fldChar w:fldCharType="begin"/>
      </w:r>
      <w:r>
        <w:instrText xml:space="preserve"> ADDIN ZOTERO_ITEM CSL_CITATION {"citationID":"G80H9tpH","properties":{"formattedCitation":"(Mims et al. 2017)","plainCitation":"(Mims et al. 2017)","noteIndex":0},"citationItems":[{"id":1449,"uris":["http://zotero.org/users/1410454/items/3VD5GGGB"],"uri":["http://zotero.org/users/1410454/items/3VD5GGGB"],"itemData":{"id":1449,"type":"article-journal","title":"Evaluation of U.S. Building Energy Benchmarking and Transparency Programs: Attributes, Impacts, and Best Practices","source":"escholarship.org","abstract":"In the last decade, a new policy area has emerged to boost energy efficiency in buildings that focuses on the simple action of measuring energy use as compared to buildings of similar type and size, and making that data publicly available. These efforts, referred to as benchmarking and transparency (B&amp;amp;T) policies, seek to unlock new energy efficiency opportunities in the country’s existing buildings by promoting data-driven decision-making and creating stronger market signals. This report focuses on the 24 state and local jurisdictions that (as of December 31, 2016) require owners of privately owned commercial buildings, multifamily buildings, or both to comply with a B&amp;amp;T policy. The report provides a summary of U.S. B&amp;amp;T policy design and implementation characteristics, reports results and impacts for jurisdictions with B&amp;amp;T policies, and discusses opportunities for increasing the efficacy of B&amp;amp;T policies, as well as suggested areas for further research. Among the findings, all but one of the B&amp;amp;T policy evaluation studies reviewed indicate some reduction (from 1.6% to 14%) in energy use, energy costs, or energy intensity over the two- to four-year period of the analyses. More specifically, most of the studies reviewed indicate 3% to 8% reductions in gross energy consumption or energy use intensity over a two- to four-year period of B&amp;amp;T policy implementation. Two additional evaluation studies indicate that there is a causal relationship between B&amp;amp;T policies and energy savings or energy cost savings. These documented impacts should be reviewed with some caution. While consistently showing energy savings benefits associated with B&amp;amp;T policies, these savings estimates should be considered preliminary because of the limited period of analyses and inconsistencies in analysis methods for the various studies. A nationally standardized method for data collection, reporting, and evaluation of B&amp;amp;T policies—developed with an advisory group of state and local jurisdictions, energy efficiency and evaluation experts, building owner and real estate associations, and other stakeholders—could improve the consistency and quality of B&amp;amp;T impact studies, providing policymakers and others with a more complete understanding of the present and future impacts of these policies.","URL":"https://escholarship.org/uc/item/3170j728","shortTitle":"Evaluation of U.S. Building Energy Benchmarking and Transparency Programs","language":"en","author":[{"family":"Mims","given":"N."},{"family":"Schiller","given":"S."},{"family":"Stuart","given":"E."},{"family":"Schwartz","given":"L."},{"family":"Kramer","given":"C."},{"family":"Faesy","given":"R."}],"issued":{"date-parts":[["2017",4,30]]},"accessed":{"date-parts":[["2018",12,6]]}}}],"schema":"https://github.com/citation-style-language/schema/raw/master/csl-citation.json"} </w:instrText>
      </w:r>
      <w:r>
        <w:fldChar w:fldCharType="separate"/>
      </w:r>
      <w:r w:rsidRPr="001C3C62">
        <w:rPr>
          <w:rFonts w:ascii="Calibri" w:hAnsi="Calibri" w:cs="Calibri"/>
        </w:rPr>
        <w:t>(Mims et al. 2017)</w:t>
      </w:r>
      <w:r>
        <w:fldChar w:fldCharType="end"/>
      </w:r>
    </w:p>
    <w:p w14:paraId="092D0171" w14:textId="71EC521B" w:rsidR="001128BA" w:rsidRDefault="00595365" w:rsidP="00775903">
      <w:r>
        <w:t>There is no othe</w:t>
      </w:r>
      <w:r w:rsidR="00A013D2">
        <w:t xml:space="preserve">r available attempt to analyze </w:t>
      </w:r>
      <w:r>
        <w:t xml:space="preserve">the impact of benchmarking ordinances across American cities. </w:t>
      </w:r>
      <w:r w:rsidR="00FC1D7D">
        <w:t>My dissertation will provide an additional analysis to co</w:t>
      </w:r>
      <w:r>
        <w:t xml:space="preserve">mplement this </w:t>
      </w:r>
      <w:proofErr w:type="gramStart"/>
      <w:r>
        <w:t>3</w:t>
      </w:r>
      <w:proofErr w:type="gramEnd"/>
      <w:r>
        <w:t xml:space="preserve"> </w:t>
      </w:r>
      <w:r w:rsidR="001C3C62">
        <w:t>quantifying</w:t>
      </w:r>
      <w:r>
        <w:t xml:space="preserve"> analyses.</w:t>
      </w:r>
    </w:p>
    <w:p w14:paraId="542E6FB8" w14:textId="77777777" w:rsidR="001128BA" w:rsidRDefault="001128BA">
      <w:r>
        <w:br w:type="page"/>
      </w:r>
    </w:p>
    <w:p w14:paraId="1A6078F7" w14:textId="77777777" w:rsidR="00FC1D7D" w:rsidRDefault="00FC1D7D" w:rsidP="00775903"/>
    <w:p w14:paraId="443608C5" w14:textId="435DD47B" w:rsidR="001128BA" w:rsidRDefault="00595365" w:rsidP="00775903">
      <w:r>
        <w:rPr>
          <w:noProof/>
        </w:rPr>
        <w:drawing>
          <wp:inline distT="0" distB="0" distL="0" distR="0" wp14:anchorId="5CDA4314" wp14:editId="4AE7D715">
            <wp:extent cx="7434072" cy="42336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434072" cy="4233672"/>
                    </a:xfrm>
                    <a:prstGeom prst="rect">
                      <a:avLst/>
                    </a:prstGeom>
                    <a:noFill/>
                    <a:ln>
                      <a:noFill/>
                    </a:ln>
                  </pic:spPr>
                </pic:pic>
              </a:graphicData>
            </a:graphic>
          </wp:inline>
        </w:drawing>
      </w:r>
    </w:p>
    <w:p w14:paraId="1C68D968" w14:textId="7DCB7C20" w:rsidR="00CF7515" w:rsidRDefault="000D76C9" w:rsidP="0010205C">
      <w:pPr>
        <w:pStyle w:val="Caption"/>
      </w:pPr>
      <w:bookmarkStart w:id="14" w:name="_Toc532165386"/>
      <w:r>
        <w:t xml:space="preserve">Table </w:t>
      </w:r>
      <w:r w:rsidR="00461074">
        <w:rPr>
          <w:noProof/>
        </w:rPr>
        <w:fldChar w:fldCharType="begin"/>
      </w:r>
      <w:r w:rsidR="00461074">
        <w:rPr>
          <w:noProof/>
        </w:rPr>
        <w:instrText xml:space="preserve"> SEQ Table \* ARABIC </w:instrText>
      </w:r>
      <w:r w:rsidR="00461074">
        <w:rPr>
          <w:noProof/>
        </w:rPr>
        <w:fldChar w:fldCharType="separate"/>
      </w:r>
      <w:r w:rsidR="00121B40">
        <w:rPr>
          <w:noProof/>
        </w:rPr>
        <w:t>1</w:t>
      </w:r>
      <w:r w:rsidR="00461074">
        <w:rPr>
          <w:noProof/>
        </w:rPr>
        <w:fldChar w:fldCharType="end"/>
      </w:r>
      <w:r w:rsidR="00CF7515">
        <w:t xml:space="preserve">: Landmark </w:t>
      </w:r>
      <w:r w:rsidR="00036865">
        <w:t>literature</w:t>
      </w:r>
      <w:r w:rsidR="00CF7515">
        <w:t xml:space="preserve"> on value of benchmarking and transparency ordinance</w:t>
      </w:r>
      <w:bookmarkEnd w:id="14"/>
      <w:r w:rsidR="001128BA">
        <w:br w:type="page"/>
      </w:r>
    </w:p>
    <w:p w14:paraId="56A91003" w14:textId="575BE104" w:rsidR="00D00580" w:rsidRDefault="00CF7515" w:rsidP="00036865">
      <w:pPr>
        <w:pStyle w:val="Heading2"/>
      </w:pPr>
      <w:bookmarkStart w:id="15" w:name="_Toc532200748"/>
      <w:r w:rsidRPr="000C4B37">
        <w:lastRenderedPageBreak/>
        <w:t xml:space="preserve">Research </w:t>
      </w:r>
      <w:r w:rsidR="00036865">
        <w:t>hypotheses</w:t>
      </w:r>
      <w:bookmarkEnd w:id="15"/>
    </w:p>
    <w:p w14:paraId="7AD431CA" w14:textId="77777777" w:rsidR="00A013D2" w:rsidRPr="00A013D2" w:rsidRDefault="00A013D2" w:rsidP="00A013D2"/>
    <w:p w14:paraId="69E47B96" w14:textId="370F4655" w:rsidR="000D2D70" w:rsidRDefault="00036865" w:rsidP="00D00580">
      <w:r>
        <w:t>As established in the first section of the proposal, a</w:t>
      </w:r>
      <w:r w:rsidR="00D00580">
        <w:t xml:space="preserve"> benchmarking and transparency ordinance </w:t>
      </w:r>
      <w:r w:rsidR="0010205C">
        <w:t xml:space="preserve">is often the first action </w:t>
      </w:r>
      <w:proofErr w:type="gramStart"/>
      <w:r w:rsidR="0010205C">
        <w:t xml:space="preserve">with </w:t>
      </w:r>
      <w:r w:rsidR="00D00580">
        <w:t>regards to</w:t>
      </w:r>
      <w:proofErr w:type="gramEnd"/>
      <w:r w:rsidR="00D00580">
        <w:t xml:space="preserve"> addressing the local building stock </w:t>
      </w:r>
      <w:r>
        <w:t>inefficiency</w:t>
      </w:r>
      <w:r w:rsidR="00A013D2">
        <w:t xml:space="preserve"> through policy</w:t>
      </w:r>
      <w:r>
        <w:t>. A complex</w:t>
      </w:r>
      <w:r w:rsidR="00D00580">
        <w:t xml:space="preserve"> communication process ensue</w:t>
      </w:r>
      <w:r w:rsidR="0010205C">
        <w:t>s</w:t>
      </w:r>
      <w:r w:rsidR="00D00580">
        <w:t xml:space="preserve"> between </w:t>
      </w:r>
      <w:r>
        <w:t>various stakeholders</w:t>
      </w:r>
      <w:r w:rsidR="00D00580">
        <w:t xml:space="preserve"> on the topic of energy data</w:t>
      </w:r>
      <w:r w:rsidR="0010205C">
        <w:t xml:space="preserve"> </w:t>
      </w:r>
      <w:r w:rsidR="00A013D2">
        <w:t>and the value added by benchmarking and transparency requirements.</w:t>
      </w:r>
    </w:p>
    <w:p w14:paraId="6BC1BEF0" w14:textId="502D98F1" w:rsidR="0010205C" w:rsidRDefault="0010205C" w:rsidP="0010205C">
      <w:r>
        <w:t xml:space="preserve">The intent of this research is to quantify the benefits of benchmarking ordinances by exploring the following </w:t>
      </w:r>
      <w:proofErr w:type="gramStart"/>
      <w:r>
        <w:t>3</w:t>
      </w:r>
      <w:proofErr w:type="gramEnd"/>
      <w:r>
        <w:t xml:space="preserve"> </w:t>
      </w:r>
      <w:proofErr w:type="spellStart"/>
      <w:r>
        <w:t>ypotheses</w:t>
      </w:r>
      <w:proofErr w:type="spellEnd"/>
      <w:r>
        <w:t xml:space="preserve">. </w:t>
      </w:r>
    </w:p>
    <w:p w14:paraId="44F8D327" w14:textId="77777777" w:rsidR="0010205C" w:rsidRDefault="0010205C" w:rsidP="00D00580"/>
    <w:p w14:paraId="6011A327" w14:textId="3ECC7520" w:rsidR="000D2D70" w:rsidRDefault="000D2D70" w:rsidP="000D2D70">
      <w:pPr>
        <w:pStyle w:val="Heading3"/>
      </w:pPr>
      <w:r>
        <w:t>Hypothesis 1:</w:t>
      </w:r>
    </w:p>
    <w:p w14:paraId="076EAEA3" w14:textId="793FD624" w:rsidR="00D00580" w:rsidRDefault="0010205C" w:rsidP="00D00580">
      <w:r>
        <w:t xml:space="preserve">Benchmarking and transparency </w:t>
      </w:r>
      <w:proofErr w:type="gramStart"/>
      <w:r>
        <w:t xml:space="preserve">ordinances </w:t>
      </w:r>
      <w:r w:rsidR="00D00580">
        <w:t xml:space="preserve"> created</w:t>
      </w:r>
      <w:proofErr w:type="gramEnd"/>
      <w:r w:rsidR="00BF5A34">
        <w:t xml:space="preserve"> new and numerous interactions across</w:t>
      </w:r>
      <w:r w:rsidR="00D00580">
        <w:t xml:space="preserve"> </w:t>
      </w:r>
      <w:r w:rsidR="00BF5A34">
        <w:t>interest groups about energy and built environment.</w:t>
      </w:r>
    </w:p>
    <w:p w14:paraId="33199D03" w14:textId="682C73B9" w:rsidR="000D2D70" w:rsidRDefault="000D2D70" w:rsidP="000D2D70">
      <w:pPr>
        <w:pStyle w:val="Heading3"/>
      </w:pPr>
      <w:r>
        <w:t>Hypothesis 2:</w:t>
      </w:r>
    </w:p>
    <w:p w14:paraId="52D1C9FB" w14:textId="5B7E83AF" w:rsidR="00B33576" w:rsidRDefault="00BF5A34" w:rsidP="00D00580">
      <w:r>
        <w:t>T</w:t>
      </w:r>
      <w:r w:rsidR="00036865">
        <w:t>his high level of discussion and information exchange</w:t>
      </w:r>
      <w:r>
        <w:t xml:space="preserve"> among stakeholders</w:t>
      </w:r>
      <w:r w:rsidR="00B33576">
        <w:t xml:space="preserve"> participated in augmenting awareness</w:t>
      </w:r>
      <w:r>
        <w:t xml:space="preserve"> and initiatives</w:t>
      </w:r>
      <w:r w:rsidR="00B33576">
        <w:t xml:space="preserve"> on sustainability and energy efficiency locally</w:t>
      </w:r>
      <w:r w:rsidR="00036865">
        <w:t xml:space="preserve">. </w:t>
      </w:r>
    </w:p>
    <w:p w14:paraId="749C37F4" w14:textId="13897EA0" w:rsidR="000D2D70" w:rsidRDefault="000D2D70" w:rsidP="000D2D70">
      <w:pPr>
        <w:pStyle w:val="Heading3"/>
      </w:pPr>
      <w:r>
        <w:t>Hypothesis 3:</w:t>
      </w:r>
    </w:p>
    <w:p w14:paraId="26241E27" w14:textId="35656D3B" w:rsidR="00B33576" w:rsidRPr="00CF7515" w:rsidRDefault="00BF5A34" w:rsidP="00D00580">
      <w:r>
        <w:t>B</w:t>
      </w:r>
      <w:r w:rsidR="000C4B37">
        <w:t xml:space="preserve">enchmarking ordinance correlated with </w:t>
      </w:r>
      <w:r>
        <w:t>increased energy efficiency in buildings covered by the mandate.</w:t>
      </w:r>
    </w:p>
    <w:p w14:paraId="0017C78B" w14:textId="4444D377" w:rsidR="00CF7515" w:rsidRDefault="000C4B37" w:rsidP="00CF7515">
      <w:r>
        <w:rPr>
          <w:noProof/>
        </w:rPr>
        <w:drawing>
          <wp:inline distT="0" distB="0" distL="0" distR="0" wp14:anchorId="0F7AC0C7" wp14:editId="7A017632">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1F714C1B" w14:textId="6A7EBA19" w:rsidR="00BF5A34" w:rsidRDefault="000D76C9" w:rsidP="000D76C9">
      <w:pPr>
        <w:pStyle w:val="Caption"/>
      </w:pPr>
      <w:bookmarkStart w:id="16" w:name="_Toc532165407"/>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5</w:t>
      </w:r>
      <w:r w:rsidR="00461074">
        <w:rPr>
          <w:noProof/>
        </w:rPr>
        <w:fldChar w:fldCharType="end"/>
      </w:r>
      <w:r>
        <w:t xml:space="preserve">: </w:t>
      </w:r>
      <w:r w:rsidR="00F37E54">
        <w:t xml:space="preserve"> Proposed m</w:t>
      </w:r>
      <w:r w:rsidR="00036865">
        <w:t>ethodology for identifying the impact of benchmarking and transparency ordinances</w:t>
      </w:r>
      <w:bookmarkEnd w:id="16"/>
    </w:p>
    <w:p w14:paraId="5073B19C" w14:textId="77777777" w:rsidR="00BF5A34" w:rsidRDefault="00BF5A34">
      <w:pPr>
        <w:rPr>
          <w:i/>
          <w:iCs/>
          <w:color w:val="1F497D" w:themeColor="text2"/>
          <w:sz w:val="18"/>
          <w:szCs w:val="18"/>
        </w:rPr>
      </w:pPr>
      <w:r>
        <w:br w:type="page"/>
      </w:r>
    </w:p>
    <w:p w14:paraId="2F4553BB" w14:textId="662E8B87" w:rsidR="000D76C9" w:rsidRDefault="00F37E54" w:rsidP="007C389A">
      <w:pPr>
        <w:pStyle w:val="Heading2"/>
      </w:pPr>
      <w:bookmarkStart w:id="17" w:name="_Toc532200749"/>
      <w:r>
        <w:lastRenderedPageBreak/>
        <w:t>H1</w:t>
      </w:r>
      <w:r w:rsidR="000D76C9">
        <w:t>: i</w:t>
      </w:r>
      <w:r w:rsidR="00CF7515" w:rsidRPr="00CF7515">
        <w:t>ncrease</w:t>
      </w:r>
      <w:r w:rsidR="00121B40">
        <w:t>d</w:t>
      </w:r>
      <w:r w:rsidR="00CF7515" w:rsidRPr="00CF7515">
        <w:t xml:space="preserve"> key stakeholders interactions</w:t>
      </w:r>
      <w:bookmarkEnd w:id="17"/>
      <w:r w:rsidR="00CF7515" w:rsidRPr="00CF7515">
        <w:t xml:space="preserve"> </w:t>
      </w:r>
    </w:p>
    <w:p w14:paraId="705EF825" w14:textId="77777777" w:rsidR="00BF5A34" w:rsidRPr="00BF5A34" w:rsidRDefault="00BF5A34" w:rsidP="00BF5A34"/>
    <w:p w14:paraId="4D84FD16" w14:textId="7884D56E" w:rsidR="00F37E54" w:rsidRPr="00BF5A34" w:rsidRDefault="00F37E54" w:rsidP="00F37E54">
      <w:pPr>
        <w:rPr>
          <w:b/>
        </w:rPr>
      </w:pPr>
      <w:r w:rsidRPr="00BF5A34">
        <w:rPr>
          <w:b/>
        </w:rPr>
        <w:t>Benchmarking and transparency ordinances increased key stakeholders interactions across interest groups about energy and built environment</w:t>
      </w:r>
      <w:r w:rsidR="00BF5A34" w:rsidRPr="00BF5A34">
        <w:rPr>
          <w:b/>
        </w:rPr>
        <w:t>.</w:t>
      </w:r>
    </w:p>
    <w:p w14:paraId="172CA874" w14:textId="50653D8C" w:rsidR="00F37E54" w:rsidRPr="00F37E54" w:rsidRDefault="00F37E54" w:rsidP="00F37E54">
      <w:pPr>
        <w:pStyle w:val="Heading3"/>
      </w:pPr>
      <w:r>
        <w:t>Methodology:</w:t>
      </w:r>
    </w:p>
    <w:p w14:paraId="2D2BD261" w14:textId="3E8018F8" w:rsidR="00CF7515" w:rsidRDefault="000D76C9" w:rsidP="001A4759">
      <w:r>
        <w:t>Interviews, workshop and discussi</w:t>
      </w:r>
      <w:r w:rsidR="00B60504">
        <w:t>ons with experts have fueled the</w:t>
      </w:r>
      <w:r>
        <w:t xml:space="preserve"> research to address this first hypothesis. </w:t>
      </w:r>
      <w:r w:rsidR="004B7560">
        <w:t>We have engaged the</w:t>
      </w:r>
      <w:r w:rsidR="00B60504">
        <w:t xml:space="preserve"> 60 stakeholder groups </w:t>
      </w:r>
      <w:r>
        <w:t>listed in table</w:t>
      </w:r>
      <w:r w:rsidR="007017FC">
        <w:t xml:space="preserve"> 2</w:t>
      </w:r>
      <w:r w:rsidR="004B7560">
        <w:t xml:space="preserve"> to establish how the stakeholder process happened locally and nationally</w:t>
      </w:r>
      <w:r w:rsidR="007017FC">
        <w:t>.</w:t>
      </w:r>
    </w:p>
    <w:tbl>
      <w:tblPr>
        <w:tblW w:w="5000" w:type="pct"/>
        <w:tblLayout w:type="fixed"/>
        <w:tblLook w:val="04A0" w:firstRow="1" w:lastRow="0" w:firstColumn="1" w:lastColumn="0" w:noHBand="0" w:noVBand="1"/>
      </w:tblPr>
      <w:tblGrid>
        <w:gridCol w:w="1367"/>
        <w:gridCol w:w="1178"/>
        <w:gridCol w:w="2160"/>
        <w:gridCol w:w="1078"/>
        <w:gridCol w:w="988"/>
        <w:gridCol w:w="1528"/>
        <w:gridCol w:w="1277"/>
      </w:tblGrid>
      <w:tr w:rsidR="007C389A" w:rsidRPr="007C389A" w14:paraId="377D35AE" w14:textId="77777777" w:rsidTr="007C389A">
        <w:trPr>
          <w:trHeight w:val="288"/>
        </w:trPr>
        <w:tc>
          <w:tcPr>
            <w:tcW w:w="1328" w:type="pct"/>
            <w:gridSpan w:val="2"/>
            <w:tcBorders>
              <w:top w:val="single" w:sz="8" w:space="0" w:color="auto"/>
              <w:left w:val="single" w:sz="8" w:space="0" w:color="auto"/>
              <w:bottom w:val="single" w:sz="4" w:space="0" w:color="5B9BD5"/>
              <w:right w:val="nil"/>
            </w:tcBorders>
            <w:shd w:val="clear" w:color="000000" w:fill="33CCFF"/>
            <w:vAlign w:val="center"/>
            <w:hideMark/>
          </w:tcPr>
          <w:p w14:paraId="2CBC07CF" w14:textId="77777777" w:rsidR="007C389A" w:rsidRPr="007C389A" w:rsidRDefault="007C389A" w:rsidP="007C389A">
            <w:pPr>
              <w:spacing w:after="0" w:line="240" w:lineRule="auto"/>
              <w:jc w:val="center"/>
              <w:rPr>
                <w:rFonts w:ascii="Calibri" w:eastAsia="Times New Roman" w:hAnsi="Calibri" w:cs="Calibri"/>
                <w:bCs/>
                <w:color w:val="44546A"/>
              </w:rPr>
            </w:pPr>
            <w:r w:rsidRPr="007C389A">
              <w:rPr>
                <w:rFonts w:ascii="Calibri" w:eastAsia="Times New Roman" w:hAnsi="Calibri" w:cs="Calibri"/>
                <w:bCs/>
                <w:color w:val="44546A"/>
              </w:rPr>
              <w:t>Cities</w:t>
            </w:r>
          </w:p>
          <w:p w14:paraId="1F0D91EF" w14:textId="140772B4" w:rsidR="007C389A" w:rsidRPr="007C389A" w:rsidRDefault="007C389A" w:rsidP="007C389A">
            <w:pPr>
              <w:spacing w:after="0" w:line="240" w:lineRule="auto"/>
              <w:jc w:val="center"/>
              <w:rPr>
                <w:rFonts w:ascii="Calibri" w:eastAsia="Times New Roman" w:hAnsi="Calibri" w:cs="Calibri"/>
                <w:bCs/>
                <w:color w:val="44546A"/>
              </w:rPr>
            </w:pPr>
          </w:p>
        </w:tc>
        <w:tc>
          <w:tcPr>
            <w:tcW w:w="1128" w:type="pct"/>
            <w:tcBorders>
              <w:top w:val="single" w:sz="8" w:space="0" w:color="auto"/>
              <w:left w:val="nil"/>
              <w:bottom w:val="single" w:sz="4" w:space="0" w:color="5B9BD5"/>
              <w:right w:val="nil"/>
            </w:tcBorders>
            <w:shd w:val="clear" w:color="000000" w:fill="33CCFF"/>
            <w:vAlign w:val="center"/>
            <w:hideMark/>
          </w:tcPr>
          <w:p w14:paraId="66A44F6B" w14:textId="77777777" w:rsidR="007C389A" w:rsidRPr="007C389A" w:rsidRDefault="007C389A" w:rsidP="007C389A">
            <w:pPr>
              <w:spacing w:after="0" w:line="240" w:lineRule="auto"/>
              <w:rPr>
                <w:rFonts w:ascii="Calibri" w:eastAsia="Times New Roman" w:hAnsi="Calibri" w:cs="Calibri"/>
                <w:bCs/>
                <w:color w:val="44546A"/>
              </w:rPr>
            </w:pPr>
            <w:r w:rsidRPr="007C389A">
              <w:rPr>
                <w:rFonts w:ascii="Calibri" w:eastAsia="Times New Roman" w:hAnsi="Calibri" w:cs="Calibri"/>
                <w:bCs/>
                <w:color w:val="44546A"/>
              </w:rPr>
              <w:t>Utilities</w:t>
            </w:r>
          </w:p>
        </w:tc>
        <w:tc>
          <w:tcPr>
            <w:tcW w:w="563" w:type="pct"/>
            <w:tcBorders>
              <w:top w:val="single" w:sz="8" w:space="0" w:color="auto"/>
              <w:left w:val="nil"/>
              <w:bottom w:val="single" w:sz="4" w:space="0" w:color="5B9BD5"/>
              <w:right w:val="nil"/>
            </w:tcBorders>
            <w:shd w:val="clear" w:color="000000" w:fill="33CCFF"/>
            <w:vAlign w:val="center"/>
            <w:hideMark/>
          </w:tcPr>
          <w:p w14:paraId="4887B4A8" w14:textId="77777777" w:rsidR="007C389A" w:rsidRPr="007C389A" w:rsidRDefault="007C389A" w:rsidP="007C389A">
            <w:pPr>
              <w:spacing w:after="0" w:line="240" w:lineRule="auto"/>
              <w:rPr>
                <w:rFonts w:ascii="Calibri" w:eastAsia="Times New Roman" w:hAnsi="Calibri" w:cs="Calibri"/>
                <w:bCs/>
                <w:color w:val="44546A"/>
              </w:rPr>
            </w:pPr>
            <w:r w:rsidRPr="007C389A">
              <w:rPr>
                <w:rFonts w:ascii="Calibri" w:eastAsia="Times New Roman" w:hAnsi="Calibri" w:cs="Calibri"/>
                <w:bCs/>
                <w:color w:val="44546A"/>
              </w:rPr>
              <w:t>Federal Agencies</w:t>
            </w:r>
          </w:p>
        </w:tc>
        <w:tc>
          <w:tcPr>
            <w:tcW w:w="516" w:type="pct"/>
            <w:tcBorders>
              <w:top w:val="single" w:sz="8" w:space="0" w:color="auto"/>
              <w:left w:val="nil"/>
              <w:bottom w:val="single" w:sz="4" w:space="0" w:color="5B9BD5"/>
              <w:right w:val="nil"/>
            </w:tcBorders>
            <w:shd w:val="clear" w:color="000000" w:fill="33CCFF"/>
            <w:vAlign w:val="center"/>
            <w:hideMark/>
          </w:tcPr>
          <w:p w14:paraId="192A6361" w14:textId="7D066B7E" w:rsidR="007C389A" w:rsidRPr="007C389A" w:rsidRDefault="007C389A" w:rsidP="007C389A">
            <w:pPr>
              <w:spacing w:after="0" w:line="240" w:lineRule="auto"/>
              <w:rPr>
                <w:rFonts w:ascii="Calibri" w:eastAsia="Times New Roman" w:hAnsi="Calibri" w:cs="Calibri"/>
                <w:bCs/>
                <w:color w:val="44546A"/>
              </w:rPr>
            </w:pPr>
            <w:r>
              <w:rPr>
                <w:rFonts w:ascii="Calibri" w:eastAsia="Times New Roman" w:hAnsi="Calibri" w:cs="Calibri"/>
                <w:bCs/>
                <w:color w:val="44546A"/>
              </w:rPr>
              <w:t>Non profits</w:t>
            </w:r>
          </w:p>
        </w:tc>
        <w:tc>
          <w:tcPr>
            <w:tcW w:w="798" w:type="pct"/>
            <w:tcBorders>
              <w:top w:val="single" w:sz="8" w:space="0" w:color="auto"/>
              <w:left w:val="nil"/>
              <w:bottom w:val="single" w:sz="4" w:space="0" w:color="5B9BD5"/>
              <w:right w:val="nil"/>
            </w:tcBorders>
            <w:shd w:val="clear" w:color="000000" w:fill="33CCFF"/>
            <w:vAlign w:val="center"/>
            <w:hideMark/>
          </w:tcPr>
          <w:p w14:paraId="0A334B9F" w14:textId="77777777" w:rsidR="007C389A" w:rsidRPr="007C389A" w:rsidRDefault="007C389A" w:rsidP="007C389A">
            <w:pPr>
              <w:spacing w:after="0" w:line="240" w:lineRule="auto"/>
              <w:rPr>
                <w:rFonts w:ascii="Calibri" w:eastAsia="Times New Roman" w:hAnsi="Calibri" w:cs="Calibri"/>
                <w:bCs/>
                <w:color w:val="44546A"/>
              </w:rPr>
            </w:pPr>
            <w:r w:rsidRPr="007C389A">
              <w:rPr>
                <w:rFonts w:ascii="Calibri" w:eastAsia="Times New Roman" w:hAnsi="Calibri" w:cs="Calibri"/>
                <w:bCs/>
                <w:color w:val="44546A"/>
              </w:rPr>
              <w:t>Universities / Labs</w:t>
            </w:r>
          </w:p>
        </w:tc>
        <w:tc>
          <w:tcPr>
            <w:tcW w:w="667" w:type="pct"/>
            <w:tcBorders>
              <w:top w:val="single" w:sz="8" w:space="0" w:color="auto"/>
              <w:left w:val="nil"/>
              <w:bottom w:val="single" w:sz="4" w:space="0" w:color="5B9BD5"/>
              <w:right w:val="single" w:sz="8" w:space="0" w:color="auto"/>
            </w:tcBorders>
            <w:shd w:val="clear" w:color="000000" w:fill="33CCFF"/>
            <w:vAlign w:val="center"/>
            <w:hideMark/>
          </w:tcPr>
          <w:p w14:paraId="6CE8BBE5" w14:textId="77777777" w:rsidR="007C389A" w:rsidRPr="007C389A" w:rsidRDefault="007C389A" w:rsidP="007C389A">
            <w:pPr>
              <w:spacing w:after="0" w:line="240" w:lineRule="auto"/>
              <w:rPr>
                <w:rFonts w:ascii="Calibri" w:eastAsia="Times New Roman" w:hAnsi="Calibri" w:cs="Calibri"/>
                <w:bCs/>
                <w:color w:val="44546A"/>
              </w:rPr>
            </w:pPr>
            <w:r w:rsidRPr="007C389A">
              <w:rPr>
                <w:rFonts w:ascii="Calibri" w:eastAsia="Times New Roman" w:hAnsi="Calibri" w:cs="Calibri"/>
                <w:bCs/>
                <w:color w:val="44546A"/>
              </w:rPr>
              <w:t>Consultants</w:t>
            </w:r>
          </w:p>
        </w:tc>
      </w:tr>
      <w:tr w:rsidR="007C389A" w:rsidRPr="007C389A" w14:paraId="045E1EDC" w14:textId="77777777" w:rsidTr="007C389A">
        <w:trPr>
          <w:trHeight w:val="288"/>
        </w:trPr>
        <w:tc>
          <w:tcPr>
            <w:tcW w:w="713" w:type="pct"/>
            <w:tcBorders>
              <w:top w:val="nil"/>
              <w:left w:val="single" w:sz="8" w:space="0" w:color="auto"/>
              <w:bottom w:val="nil"/>
              <w:right w:val="nil"/>
            </w:tcBorders>
            <w:shd w:val="clear" w:color="DDEBF7" w:fill="DDEBF7"/>
            <w:vAlign w:val="center"/>
            <w:hideMark/>
          </w:tcPr>
          <w:p w14:paraId="598126DB"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Atlanta, GA</w:t>
            </w:r>
          </w:p>
        </w:tc>
        <w:tc>
          <w:tcPr>
            <w:tcW w:w="615" w:type="pct"/>
            <w:tcBorders>
              <w:top w:val="nil"/>
              <w:left w:val="nil"/>
              <w:bottom w:val="nil"/>
              <w:right w:val="nil"/>
            </w:tcBorders>
            <w:shd w:val="clear" w:color="DDEBF7" w:fill="DDEBF7"/>
            <w:vAlign w:val="center"/>
            <w:hideMark/>
          </w:tcPr>
          <w:p w14:paraId="4ABC86CF"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Calibri"/>
                <w:color w:val="44546A"/>
                <w:sz w:val="20"/>
                <w:szCs w:val="20"/>
              </w:rPr>
              <w:t>Des Moines, IA</w:t>
            </w:r>
          </w:p>
        </w:tc>
        <w:tc>
          <w:tcPr>
            <w:tcW w:w="1128" w:type="pct"/>
            <w:tcBorders>
              <w:top w:val="nil"/>
              <w:left w:val="nil"/>
              <w:bottom w:val="nil"/>
              <w:right w:val="nil"/>
            </w:tcBorders>
            <w:shd w:val="clear" w:color="DDEBF7" w:fill="DDEBF7"/>
            <w:vAlign w:val="center"/>
            <w:hideMark/>
          </w:tcPr>
          <w:p w14:paraId="3D8C989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AEP Ohio</w:t>
            </w:r>
          </w:p>
        </w:tc>
        <w:tc>
          <w:tcPr>
            <w:tcW w:w="563" w:type="pct"/>
            <w:tcBorders>
              <w:top w:val="nil"/>
              <w:left w:val="nil"/>
              <w:bottom w:val="nil"/>
              <w:right w:val="nil"/>
            </w:tcBorders>
            <w:shd w:val="clear" w:color="DDEBF7" w:fill="DDEBF7"/>
            <w:vAlign w:val="center"/>
            <w:hideMark/>
          </w:tcPr>
          <w:p w14:paraId="55C63663"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EPA</w:t>
            </w:r>
          </w:p>
        </w:tc>
        <w:tc>
          <w:tcPr>
            <w:tcW w:w="516" w:type="pct"/>
            <w:tcBorders>
              <w:top w:val="nil"/>
              <w:left w:val="nil"/>
              <w:bottom w:val="nil"/>
              <w:right w:val="nil"/>
            </w:tcBorders>
            <w:shd w:val="clear" w:color="DDEBF7" w:fill="DDEBF7"/>
            <w:vAlign w:val="center"/>
            <w:hideMark/>
          </w:tcPr>
          <w:p w14:paraId="30215EE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IMT</w:t>
            </w:r>
          </w:p>
        </w:tc>
        <w:tc>
          <w:tcPr>
            <w:tcW w:w="798" w:type="pct"/>
            <w:tcBorders>
              <w:top w:val="nil"/>
              <w:left w:val="nil"/>
              <w:bottom w:val="nil"/>
              <w:right w:val="nil"/>
            </w:tcBorders>
            <w:shd w:val="clear" w:color="DDEBF7" w:fill="DDEBF7"/>
            <w:vAlign w:val="center"/>
            <w:hideMark/>
          </w:tcPr>
          <w:p w14:paraId="0B420C06" w14:textId="72816AB8"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U</w:t>
            </w:r>
            <w:r>
              <w:rPr>
                <w:rFonts w:ascii="Calibri" w:eastAsia="Times New Roman" w:hAnsi="Calibri" w:cs="Calibri"/>
                <w:color w:val="44546A"/>
              </w:rPr>
              <w:t>niversity of Pennsylvania</w:t>
            </w:r>
          </w:p>
        </w:tc>
        <w:tc>
          <w:tcPr>
            <w:tcW w:w="667" w:type="pct"/>
            <w:tcBorders>
              <w:top w:val="nil"/>
              <w:left w:val="nil"/>
              <w:bottom w:val="nil"/>
              <w:right w:val="single" w:sz="8" w:space="0" w:color="auto"/>
            </w:tcBorders>
            <w:shd w:val="clear" w:color="DDEBF7" w:fill="DDEBF7"/>
            <w:vAlign w:val="center"/>
            <w:hideMark/>
          </w:tcPr>
          <w:p w14:paraId="7FD408AF"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ICF</w:t>
            </w:r>
          </w:p>
        </w:tc>
      </w:tr>
      <w:tr w:rsidR="007C389A" w:rsidRPr="007C389A" w14:paraId="3ACBA847" w14:textId="77777777" w:rsidTr="007C389A">
        <w:trPr>
          <w:trHeight w:val="576"/>
        </w:trPr>
        <w:tc>
          <w:tcPr>
            <w:tcW w:w="713" w:type="pct"/>
            <w:tcBorders>
              <w:top w:val="nil"/>
              <w:left w:val="single" w:sz="8" w:space="0" w:color="auto"/>
              <w:bottom w:val="nil"/>
              <w:right w:val="nil"/>
            </w:tcBorders>
            <w:shd w:val="clear" w:color="auto" w:fill="auto"/>
            <w:vAlign w:val="center"/>
            <w:hideMark/>
          </w:tcPr>
          <w:p w14:paraId="29D28603"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Boston, MA</w:t>
            </w:r>
          </w:p>
        </w:tc>
        <w:tc>
          <w:tcPr>
            <w:tcW w:w="615" w:type="pct"/>
            <w:tcBorders>
              <w:top w:val="nil"/>
              <w:left w:val="nil"/>
              <w:bottom w:val="nil"/>
              <w:right w:val="nil"/>
            </w:tcBorders>
            <w:shd w:val="clear" w:color="auto" w:fill="auto"/>
            <w:vAlign w:val="center"/>
            <w:hideMark/>
          </w:tcPr>
          <w:p w14:paraId="0C6BDB63"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theme="minorHAnsi"/>
                <w:color w:val="44546A"/>
                <w:sz w:val="20"/>
                <w:szCs w:val="20"/>
              </w:rPr>
              <w:t>Fort Collins, CO</w:t>
            </w:r>
          </w:p>
        </w:tc>
        <w:tc>
          <w:tcPr>
            <w:tcW w:w="1128" w:type="pct"/>
            <w:tcBorders>
              <w:top w:val="nil"/>
              <w:left w:val="nil"/>
              <w:bottom w:val="nil"/>
              <w:right w:val="nil"/>
            </w:tcBorders>
            <w:shd w:val="clear" w:color="auto" w:fill="auto"/>
            <w:vAlign w:val="center"/>
            <w:hideMark/>
          </w:tcPr>
          <w:p w14:paraId="20CC2495"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Atlanta Gas Light (AGL)</w:t>
            </w:r>
          </w:p>
        </w:tc>
        <w:tc>
          <w:tcPr>
            <w:tcW w:w="563" w:type="pct"/>
            <w:tcBorders>
              <w:top w:val="nil"/>
              <w:left w:val="nil"/>
              <w:bottom w:val="nil"/>
              <w:right w:val="nil"/>
            </w:tcBorders>
            <w:shd w:val="clear" w:color="auto" w:fill="auto"/>
            <w:vAlign w:val="center"/>
            <w:hideMark/>
          </w:tcPr>
          <w:p w14:paraId="52A423C5"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DOE</w:t>
            </w:r>
          </w:p>
        </w:tc>
        <w:tc>
          <w:tcPr>
            <w:tcW w:w="516" w:type="pct"/>
            <w:tcBorders>
              <w:top w:val="nil"/>
              <w:left w:val="nil"/>
              <w:bottom w:val="nil"/>
              <w:right w:val="nil"/>
            </w:tcBorders>
            <w:shd w:val="clear" w:color="auto" w:fill="auto"/>
            <w:vAlign w:val="center"/>
            <w:hideMark/>
          </w:tcPr>
          <w:p w14:paraId="7DFD2CE1" w14:textId="1565D9BE" w:rsidR="007C389A" w:rsidRPr="007C389A" w:rsidRDefault="007C389A" w:rsidP="007C389A">
            <w:pPr>
              <w:spacing w:after="0" w:line="240" w:lineRule="auto"/>
              <w:rPr>
                <w:rFonts w:ascii="Calibri" w:eastAsia="Times New Roman" w:hAnsi="Calibri" w:cs="Calibri"/>
                <w:color w:val="44546A"/>
              </w:rPr>
            </w:pPr>
            <w:r>
              <w:rPr>
                <w:rFonts w:ascii="Calibri" w:eastAsia="Times New Roman" w:hAnsi="Calibri" w:cs="Calibri"/>
                <w:color w:val="44546A"/>
              </w:rPr>
              <w:t>DVGBC</w:t>
            </w:r>
            <w:r w:rsidRPr="00461074">
              <w:rPr>
                <w:rStyle w:val="FootnoteReference"/>
              </w:rPr>
              <w:footnoteReference w:id="1"/>
            </w:r>
          </w:p>
        </w:tc>
        <w:tc>
          <w:tcPr>
            <w:tcW w:w="798" w:type="pct"/>
            <w:tcBorders>
              <w:top w:val="nil"/>
              <w:left w:val="nil"/>
              <w:bottom w:val="nil"/>
              <w:right w:val="nil"/>
            </w:tcBorders>
            <w:shd w:val="clear" w:color="auto" w:fill="auto"/>
            <w:vAlign w:val="center"/>
            <w:hideMark/>
          </w:tcPr>
          <w:p w14:paraId="74AFBEA7"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Penn State</w:t>
            </w:r>
          </w:p>
        </w:tc>
        <w:tc>
          <w:tcPr>
            <w:tcW w:w="667" w:type="pct"/>
            <w:tcBorders>
              <w:top w:val="nil"/>
              <w:left w:val="nil"/>
              <w:bottom w:val="nil"/>
              <w:right w:val="single" w:sz="8" w:space="0" w:color="auto"/>
            </w:tcBorders>
            <w:shd w:val="clear" w:color="auto" w:fill="auto"/>
            <w:vAlign w:val="center"/>
            <w:hideMark/>
          </w:tcPr>
          <w:p w14:paraId="153203E2"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DNV-GL</w:t>
            </w:r>
          </w:p>
        </w:tc>
      </w:tr>
      <w:tr w:rsidR="007C389A" w:rsidRPr="007C389A" w14:paraId="67A96296" w14:textId="77777777" w:rsidTr="007C389A">
        <w:trPr>
          <w:trHeight w:val="288"/>
        </w:trPr>
        <w:tc>
          <w:tcPr>
            <w:tcW w:w="713" w:type="pct"/>
            <w:tcBorders>
              <w:top w:val="nil"/>
              <w:left w:val="single" w:sz="8" w:space="0" w:color="auto"/>
              <w:bottom w:val="nil"/>
              <w:right w:val="nil"/>
            </w:tcBorders>
            <w:shd w:val="clear" w:color="DDEBF7" w:fill="DDEBF7"/>
            <w:vAlign w:val="center"/>
            <w:hideMark/>
          </w:tcPr>
          <w:p w14:paraId="320387F5"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Austin, TX</w:t>
            </w:r>
          </w:p>
        </w:tc>
        <w:tc>
          <w:tcPr>
            <w:tcW w:w="615" w:type="pct"/>
            <w:tcBorders>
              <w:top w:val="nil"/>
              <w:left w:val="nil"/>
              <w:bottom w:val="nil"/>
              <w:right w:val="nil"/>
            </w:tcBorders>
            <w:shd w:val="clear" w:color="DDEBF7" w:fill="DDEBF7"/>
            <w:vAlign w:val="center"/>
            <w:hideMark/>
          </w:tcPr>
          <w:p w14:paraId="4C838584"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Calibri"/>
                <w:color w:val="44546A"/>
                <w:sz w:val="20"/>
                <w:szCs w:val="20"/>
              </w:rPr>
              <w:t>Miami-</w:t>
            </w:r>
            <w:proofErr w:type="spellStart"/>
            <w:r w:rsidRPr="007C389A">
              <w:rPr>
                <w:rFonts w:ascii="Calibri" w:eastAsia="Times New Roman" w:hAnsi="Calibri" w:cs="Calibri"/>
                <w:color w:val="44546A"/>
                <w:sz w:val="20"/>
                <w:szCs w:val="20"/>
              </w:rPr>
              <w:t>Dade,FL</w:t>
            </w:r>
            <w:proofErr w:type="spellEnd"/>
          </w:p>
        </w:tc>
        <w:tc>
          <w:tcPr>
            <w:tcW w:w="1128" w:type="pct"/>
            <w:tcBorders>
              <w:top w:val="nil"/>
              <w:left w:val="nil"/>
              <w:bottom w:val="nil"/>
              <w:right w:val="nil"/>
            </w:tcBorders>
            <w:shd w:val="clear" w:color="DDEBF7" w:fill="DDEBF7"/>
            <w:vAlign w:val="center"/>
            <w:hideMark/>
          </w:tcPr>
          <w:p w14:paraId="6CA5E5AD"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Austin Energy</w:t>
            </w:r>
          </w:p>
        </w:tc>
        <w:tc>
          <w:tcPr>
            <w:tcW w:w="563" w:type="pct"/>
            <w:tcBorders>
              <w:top w:val="nil"/>
              <w:left w:val="nil"/>
              <w:bottom w:val="nil"/>
              <w:right w:val="nil"/>
            </w:tcBorders>
            <w:shd w:val="clear" w:color="DDEBF7" w:fill="DDEBF7"/>
            <w:vAlign w:val="center"/>
            <w:hideMark/>
          </w:tcPr>
          <w:p w14:paraId="33691E0D"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62B2AA78"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GBA</w:t>
            </w:r>
          </w:p>
        </w:tc>
        <w:tc>
          <w:tcPr>
            <w:tcW w:w="798" w:type="pct"/>
            <w:tcBorders>
              <w:top w:val="nil"/>
              <w:left w:val="nil"/>
              <w:bottom w:val="nil"/>
              <w:right w:val="nil"/>
            </w:tcBorders>
            <w:shd w:val="clear" w:color="DDEBF7" w:fill="DDEBF7"/>
            <w:vAlign w:val="center"/>
            <w:hideMark/>
          </w:tcPr>
          <w:p w14:paraId="7B429DF3"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MIT</w:t>
            </w:r>
          </w:p>
        </w:tc>
        <w:tc>
          <w:tcPr>
            <w:tcW w:w="667" w:type="pct"/>
            <w:tcBorders>
              <w:top w:val="nil"/>
              <w:left w:val="nil"/>
              <w:bottom w:val="nil"/>
              <w:right w:val="single" w:sz="8" w:space="0" w:color="auto"/>
            </w:tcBorders>
            <w:shd w:val="clear" w:color="DDEBF7" w:fill="DDEBF7"/>
            <w:vAlign w:val="center"/>
            <w:hideMark/>
          </w:tcPr>
          <w:p w14:paraId="45B263BF" w14:textId="77777777" w:rsidR="007C389A" w:rsidRPr="007C389A" w:rsidRDefault="007C389A" w:rsidP="007C389A">
            <w:pPr>
              <w:spacing w:after="0" w:line="240" w:lineRule="auto"/>
              <w:rPr>
                <w:rFonts w:ascii="Calibri" w:eastAsia="Times New Roman" w:hAnsi="Calibri" w:cs="Calibri"/>
                <w:color w:val="44546A"/>
              </w:rPr>
            </w:pPr>
          </w:p>
        </w:tc>
      </w:tr>
      <w:tr w:rsidR="007C389A" w:rsidRPr="007C389A" w14:paraId="4E69E9D8" w14:textId="77777777" w:rsidTr="007C389A">
        <w:trPr>
          <w:trHeight w:val="576"/>
        </w:trPr>
        <w:tc>
          <w:tcPr>
            <w:tcW w:w="713" w:type="pct"/>
            <w:tcBorders>
              <w:top w:val="nil"/>
              <w:left w:val="single" w:sz="8" w:space="0" w:color="auto"/>
              <w:bottom w:val="nil"/>
              <w:right w:val="nil"/>
            </w:tcBorders>
            <w:shd w:val="clear" w:color="auto" w:fill="auto"/>
            <w:vAlign w:val="center"/>
            <w:hideMark/>
          </w:tcPr>
          <w:p w14:paraId="68380A47"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Cambridge, MA</w:t>
            </w:r>
          </w:p>
        </w:tc>
        <w:tc>
          <w:tcPr>
            <w:tcW w:w="615" w:type="pct"/>
            <w:tcBorders>
              <w:top w:val="nil"/>
              <w:left w:val="nil"/>
              <w:bottom w:val="nil"/>
              <w:right w:val="nil"/>
            </w:tcBorders>
            <w:shd w:val="clear" w:color="auto" w:fill="auto"/>
            <w:vAlign w:val="center"/>
            <w:hideMark/>
          </w:tcPr>
          <w:p w14:paraId="48EF3450"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Calibri"/>
                <w:color w:val="44546A"/>
                <w:sz w:val="20"/>
                <w:szCs w:val="20"/>
              </w:rPr>
              <w:t>New Orleans, LO</w:t>
            </w:r>
          </w:p>
        </w:tc>
        <w:tc>
          <w:tcPr>
            <w:tcW w:w="1128" w:type="pct"/>
            <w:tcBorders>
              <w:top w:val="nil"/>
              <w:left w:val="nil"/>
              <w:bottom w:val="nil"/>
              <w:right w:val="nil"/>
            </w:tcBorders>
            <w:shd w:val="clear" w:color="auto" w:fill="auto"/>
            <w:vAlign w:val="center"/>
            <w:hideMark/>
          </w:tcPr>
          <w:p w14:paraId="1BB6B7D5"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Commonwealth Edison (</w:t>
            </w:r>
            <w:proofErr w:type="spellStart"/>
            <w:r w:rsidRPr="007C389A">
              <w:rPr>
                <w:rFonts w:ascii="Calibri" w:eastAsia="Times New Roman" w:hAnsi="Calibri" w:cs="Calibri"/>
                <w:color w:val="44546A"/>
              </w:rPr>
              <w:t>ComEd</w:t>
            </w:r>
            <w:proofErr w:type="spellEnd"/>
            <w:r w:rsidRPr="007C389A">
              <w:rPr>
                <w:rFonts w:ascii="Calibri" w:eastAsia="Times New Roman" w:hAnsi="Calibri" w:cs="Calibri"/>
                <w:color w:val="44546A"/>
              </w:rPr>
              <w:t>)</w:t>
            </w:r>
          </w:p>
        </w:tc>
        <w:tc>
          <w:tcPr>
            <w:tcW w:w="563" w:type="pct"/>
            <w:tcBorders>
              <w:top w:val="nil"/>
              <w:left w:val="nil"/>
              <w:bottom w:val="nil"/>
              <w:right w:val="nil"/>
            </w:tcBorders>
            <w:shd w:val="clear" w:color="auto" w:fill="auto"/>
            <w:vAlign w:val="center"/>
            <w:hideMark/>
          </w:tcPr>
          <w:p w14:paraId="4BB726E4"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4C5BE1BA"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NRDC</w:t>
            </w:r>
          </w:p>
        </w:tc>
        <w:tc>
          <w:tcPr>
            <w:tcW w:w="798" w:type="pct"/>
            <w:tcBorders>
              <w:top w:val="nil"/>
              <w:left w:val="nil"/>
              <w:bottom w:val="nil"/>
              <w:right w:val="nil"/>
            </w:tcBorders>
            <w:shd w:val="clear" w:color="auto" w:fill="auto"/>
            <w:vAlign w:val="center"/>
            <w:hideMark/>
          </w:tcPr>
          <w:p w14:paraId="7BEF81CC"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NREL</w:t>
            </w:r>
          </w:p>
        </w:tc>
        <w:tc>
          <w:tcPr>
            <w:tcW w:w="667" w:type="pct"/>
            <w:tcBorders>
              <w:top w:val="nil"/>
              <w:left w:val="nil"/>
              <w:bottom w:val="nil"/>
              <w:right w:val="single" w:sz="8" w:space="0" w:color="auto"/>
            </w:tcBorders>
            <w:shd w:val="clear" w:color="auto" w:fill="auto"/>
            <w:vAlign w:val="center"/>
            <w:hideMark/>
          </w:tcPr>
          <w:p w14:paraId="2E535829" w14:textId="77777777" w:rsidR="007C389A" w:rsidRPr="007C389A" w:rsidRDefault="007C389A" w:rsidP="007C389A">
            <w:pPr>
              <w:spacing w:after="0" w:line="240" w:lineRule="auto"/>
              <w:rPr>
                <w:rFonts w:ascii="Calibri" w:eastAsia="Times New Roman" w:hAnsi="Calibri" w:cs="Calibri"/>
                <w:color w:val="44546A"/>
              </w:rPr>
            </w:pPr>
          </w:p>
        </w:tc>
      </w:tr>
      <w:tr w:rsidR="007C389A" w:rsidRPr="007C389A" w14:paraId="53CF2B6E" w14:textId="77777777" w:rsidTr="007C389A">
        <w:trPr>
          <w:trHeight w:val="576"/>
        </w:trPr>
        <w:tc>
          <w:tcPr>
            <w:tcW w:w="713" w:type="pct"/>
            <w:tcBorders>
              <w:top w:val="nil"/>
              <w:left w:val="single" w:sz="8" w:space="0" w:color="auto"/>
              <w:bottom w:val="nil"/>
              <w:right w:val="nil"/>
            </w:tcBorders>
            <w:shd w:val="clear" w:color="DDEBF7" w:fill="DDEBF7"/>
            <w:vAlign w:val="center"/>
            <w:hideMark/>
          </w:tcPr>
          <w:p w14:paraId="503CF236"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Chicago, IL</w:t>
            </w:r>
          </w:p>
        </w:tc>
        <w:tc>
          <w:tcPr>
            <w:tcW w:w="615" w:type="pct"/>
            <w:tcBorders>
              <w:top w:val="nil"/>
              <w:left w:val="nil"/>
              <w:bottom w:val="nil"/>
              <w:right w:val="nil"/>
            </w:tcBorders>
            <w:shd w:val="clear" w:color="DDEBF7" w:fill="DDEBF7"/>
            <w:vAlign w:val="center"/>
            <w:hideMark/>
          </w:tcPr>
          <w:p w14:paraId="4D24ED4A" w14:textId="4B06AD3A"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theme="minorHAnsi"/>
                <w:color w:val="44546A"/>
                <w:sz w:val="20"/>
                <w:szCs w:val="20"/>
              </w:rPr>
              <w:t>Pittsburgh,</w:t>
            </w:r>
            <w:r>
              <w:rPr>
                <w:rFonts w:ascii="Calibri" w:eastAsia="Times New Roman" w:hAnsi="Calibri" w:cstheme="minorHAnsi"/>
                <w:color w:val="44546A"/>
                <w:sz w:val="20"/>
                <w:szCs w:val="20"/>
              </w:rPr>
              <w:t xml:space="preserve"> </w:t>
            </w:r>
            <w:r w:rsidRPr="007C389A">
              <w:rPr>
                <w:rFonts w:ascii="Calibri" w:eastAsia="Times New Roman" w:hAnsi="Calibri" w:cstheme="minorHAnsi"/>
                <w:color w:val="44546A"/>
                <w:sz w:val="20"/>
                <w:szCs w:val="20"/>
              </w:rPr>
              <w:t>PA</w:t>
            </w:r>
          </w:p>
        </w:tc>
        <w:tc>
          <w:tcPr>
            <w:tcW w:w="1128" w:type="pct"/>
            <w:tcBorders>
              <w:top w:val="nil"/>
              <w:left w:val="nil"/>
              <w:bottom w:val="nil"/>
              <w:right w:val="nil"/>
            </w:tcBorders>
            <w:shd w:val="clear" w:color="DDEBF7" w:fill="DDEBF7"/>
            <w:vAlign w:val="center"/>
            <w:hideMark/>
          </w:tcPr>
          <w:p w14:paraId="1CB00A66"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Kansas City Power &amp; Light (KCP&amp;L)</w:t>
            </w:r>
          </w:p>
        </w:tc>
        <w:tc>
          <w:tcPr>
            <w:tcW w:w="563" w:type="pct"/>
            <w:tcBorders>
              <w:top w:val="nil"/>
              <w:left w:val="nil"/>
              <w:bottom w:val="nil"/>
              <w:right w:val="nil"/>
            </w:tcBorders>
            <w:shd w:val="clear" w:color="DDEBF7" w:fill="DDEBF7"/>
            <w:vAlign w:val="center"/>
            <w:hideMark/>
          </w:tcPr>
          <w:p w14:paraId="288BAEB7"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11BA7D26"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3A5FC60A"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073D400F"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596CFFB1" w14:textId="77777777" w:rsidTr="007C389A">
        <w:trPr>
          <w:trHeight w:val="576"/>
        </w:trPr>
        <w:tc>
          <w:tcPr>
            <w:tcW w:w="713" w:type="pct"/>
            <w:tcBorders>
              <w:top w:val="nil"/>
              <w:left w:val="single" w:sz="8" w:space="0" w:color="auto"/>
              <w:bottom w:val="nil"/>
              <w:right w:val="nil"/>
            </w:tcBorders>
            <w:shd w:val="clear" w:color="auto" w:fill="auto"/>
            <w:vAlign w:val="center"/>
            <w:hideMark/>
          </w:tcPr>
          <w:p w14:paraId="4DC20CB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Chula Vista, CA</w:t>
            </w:r>
          </w:p>
        </w:tc>
        <w:tc>
          <w:tcPr>
            <w:tcW w:w="615" w:type="pct"/>
            <w:tcBorders>
              <w:top w:val="nil"/>
              <w:left w:val="nil"/>
              <w:bottom w:val="nil"/>
              <w:right w:val="nil"/>
            </w:tcBorders>
            <w:shd w:val="clear" w:color="auto" w:fill="auto"/>
            <w:vAlign w:val="center"/>
            <w:hideMark/>
          </w:tcPr>
          <w:p w14:paraId="286E24E4"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Calibri"/>
                <w:color w:val="44546A"/>
                <w:sz w:val="20"/>
                <w:szCs w:val="20"/>
              </w:rPr>
              <w:t>Providence, MA</w:t>
            </w:r>
          </w:p>
        </w:tc>
        <w:tc>
          <w:tcPr>
            <w:tcW w:w="1128" w:type="pct"/>
            <w:tcBorders>
              <w:top w:val="nil"/>
              <w:left w:val="nil"/>
              <w:bottom w:val="nil"/>
              <w:right w:val="nil"/>
            </w:tcBorders>
            <w:shd w:val="clear" w:color="auto" w:fill="auto"/>
            <w:vAlign w:val="center"/>
            <w:hideMark/>
          </w:tcPr>
          <w:p w14:paraId="248A0DF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Los Angeles Department of Water and Power</w:t>
            </w:r>
          </w:p>
        </w:tc>
        <w:tc>
          <w:tcPr>
            <w:tcW w:w="563" w:type="pct"/>
            <w:tcBorders>
              <w:top w:val="nil"/>
              <w:left w:val="nil"/>
              <w:bottom w:val="nil"/>
              <w:right w:val="nil"/>
            </w:tcBorders>
            <w:shd w:val="clear" w:color="auto" w:fill="auto"/>
            <w:vAlign w:val="center"/>
            <w:hideMark/>
          </w:tcPr>
          <w:p w14:paraId="5F461C49"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1FB803C6"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717581F1"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4406F189"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1FDBFE50" w14:textId="77777777" w:rsidTr="007C389A">
        <w:trPr>
          <w:trHeight w:val="288"/>
        </w:trPr>
        <w:tc>
          <w:tcPr>
            <w:tcW w:w="713" w:type="pct"/>
            <w:tcBorders>
              <w:top w:val="nil"/>
              <w:left w:val="single" w:sz="8" w:space="0" w:color="auto"/>
              <w:bottom w:val="nil"/>
              <w:right w:val="nil"/>
            </w:tcBorders>
            <w:shd w:val="clear" w:color="DDEBF7" w:fill="DDEBF7"/>
            <w:vAlign w:val="center"/>
            <w:hideMark/>
          </w:tcPr>
          <w:p w14:paraId="459A0ADB"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Columbus, OH</w:t>
            </w:r>
          </w:p>
        </w:tc>
        <w:tc>
          <w:tcPr>
            <w:tcW w:w="615" w:type="pct"/>
            <w:tcBorders>
              <w:top w:val="nil"/>
              <w:left w:val="nil"/>
              <w:bottom w:val="nil"/>
              <w:right w:val="nil"/>
            </w:tcBorders>
            <w:shd w:val="clear" w:color="DDEBF7" w:fill="DDEBF7"/>
            <w:vAlign w:val="center"/>
            <w:hideMark/>
          </w:tcPr>
          <w:p w14:paraId="419F606E"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Calibri"/>
                <w:color w:val="44546A"/>
                <w:sz w:val="20"/>
                <w:szCs w:val="20"/>
              </w:rPr>
              <w:t>Reno, NV</w:t>
            </w:r>
          </w:p>
        </w:tc>
        <w:tc>
          <w:tcPr>
            <w:tcW w:w="1128" w:type="pct"/>
            <w:tcBorders>
              <w:top w:val="nil"/>
              <w:left w:val="nil"/>
              <w:bottom w:val="nil"/>
              <w:right w:val="nil"/>
            </w:tcBorders>
            <w:shd w:val="clear" w:color="DDEBF7" w:fill="DDEBF7"/>
            <w:vAlign w:val="center"/>
            <w:hideMark/>
          </w:tcPr>
          <w:p w14:paraId="1A4332E1"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National Grid</w:t>
            </w:r>
          </w:p>
        </w:tc>
        <w:tc>
          <w:tcPr>
            <w:tcW w:w="563" w:type="pct"/>
            <w:tcBorders>
              <w:top w:val="nil"/>
              <w:left w:val="nil"/>
              <w:bottom w:val="nil"/>
              <w:right w:val="nil"/>
            </w:tcBorders>
            <w:shd w:val="clear" w:color="DDEBF7" w:fill="DDEBF7"/>
            <w:vAlign w:val="center"/>
            <w:hideMark/>
          </w:tcPr>
          <w:p w14:paraId="1F03B031"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6B8B0218"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4EDC38B2"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7177E6BE"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53852DB3" w14:textId="77777777" w:rsidTr="007C389A">
        <w:trPr>
          <w:trHeight w:val="576"/>
        </w:trPr>
        <w:tc>
          <w:tcPr>
            <w:tcW w:w="713" w:type="pct"/>
            <w:tcBorders>
              <w:top w:val="nil"/>
              <w:left w:val="single" w:sz="8" w:space="0" w:color="auto"/>
              <w:bottom w:val="nil"/>
              <w:right w:val="nil"/>
            </w:tcBorders>
            <w:shd w:val="clear" w:color="auto" w:fill="auto"/>
            <w:vAlign w:val="center"/>
            <w:hideMark/>
          </w:tcPr>
          <w:p w14:paraId="55B7FD22"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District of Columbia</w:t>
            </w:r>
          </w:p>
        </w:tc>
        <w:tc>
          <w:tcPr>
            <w:tcW w:w="615" w:type="pct"/>
            <w:tcBorders>
              <w:top w:val="nil"/>
              <w:left w:val="nil"/>
              <w:bottom w:val="nil"/>
              <w:right w:val="nil"/>
            </w:tcBorders>
            <w:shd w:val="clear" w:color="auto" w:fill="auto"/>
            <w:vAlign w:val="center"/>
            <w:hideMark/>
          </w:tcPr>
          <w:p w14:paraId="0E76D26D"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theme="minorHAnsi"/>
                <w:color w:val="44546A"/>
                <w:sz w:val="20"/>
                <w:szCs w:val="20"/>
              </w:rPr>
              <w:t>San Jose, CA</w:t>
            </w:r>
          </w:p>
        </w:tc>
        <w:tc>
          <w:tcPr>
            <w:tcW w:w="1128" w:type="pct"/>
            <w:tcBorders>
              <w:top w:val="nil"/>
              <w:left w:val="nil"/>
              <w:bottom w:val="nil"/>
              <w:right w:val="nil"/>
            </w:tcBorders>
            <w:shd w:val="clear" w:color="auto" w:fill="auto"/>
            <w:vAlign w:val="center"/>
            <w:hideMark/>
          </w:tcPr>
          <w:p w14:paraId="7F73679A"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NSTAR/Northeastern Utilities</w:t>
            </w:r>
          </w:p>
        </w:tc>
        <w:tc>
          <w:tcPr>
            <w:tcW w:w="563" w:type="pct"/>
            <w:tcBorders>
              <w:top w:val="nil"/>
              <w:left w:val="nil"/>
              <w:bottom w:val="nil"/>
              <w:right w:val="nil"/>
            </w:tcBorders>
            <w:shd w:val="clear" w:color="auto" w:fill="auto"/>
            <w:vAlign w:val="center"/>
            <w:hideMark/>
          </w:tcPr>
          <w:p w14:paraId="095A6E24"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6D4023D5"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50AB8A8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5FEE4976"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7872B0B0" w14:textId="77777777" w:rsidTr="007C389A">
        <w:trPr>
          <w:trHeight w:val="576"/>
        </w:trPr>
        <w:tc>
          <w:tcPr>
            <w:tcW w:w="713" w:type="pct"/>
            <w:tcBorders>
              <w:top w:val="nil"/>
              <w:left w:val="single" w:sz="8" w:space="0" w:color="auto"/>
              <w:bottom w:val="nil"/>
              <w:right w:val="nil"/>
            </w:tcBorders>
            <w:shd w:val="clear" w:color="DDEBF7" w:fill="DDEBF7"/>
            <w:vAlign w:val="center"/>
            <w:hideMark/>
          </w:tcPr>
          <w:p w14:paraId="3737133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Houston, TX</w:t>
            </w:r>
          </w:p>
        </w:tc>
        <w:tc>
          <w:tcPr>
            <w:tcW w:w="615" w:type="pct"/>
            <w:tcBorders>
              <w:top w:val="nil"/>
              <w:left w:val="nil"/>
              <w:bottom w:val="nil"/>
              <w:right w:val="nil"/>
            </w:tcBorders>
            <w:shd w:val="clear" w:color="DDEBF7" w:fill="DDEBF7"/>
            <w:vAlign w:val="center"/>
            <w:hideMark/>
          </w:tcPr>
          <w:p w14:paraId="56E8904D" w14:textId="77777777"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Calibri"/>
                <w:color w:val="44546A"/>
                <w:sz w:val="20"/>
                <w:szCs w:val="20"/>
              </w:rPr>
              <w:t>St Louis, MO</w:t>
            </w:r>
          </w:p>
        </w:tc>
        <w:tc>
          <w:tcPr>
            <w:tcW w:w="1128" w:type="pct"/>
            <w:tcBorders>
              <w:top w:val="nil"/>
              <w:left w:val="nil"/>
              <w:bottom w:val="nil"/>
              <w:right w:val="nil"/>
            </w:tcBorders>
            <w:shd w:val="clear" w:color="DDEBF7" w:fill="DDEBF7"/>
            <w:vAlign w:val="center"/>
            <w:hideMark/>
          </w:tcPr>
          <w:p w14:paraId="32F4AEB8"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Orlando Utilities Commission</w:t>
            </w:r>
          </w:p>
        </w:tc>
        <w:tc>
          <w:tcPr>
            <w:tcW w:w="563" w:type="pct"/>
            <w:tcBorders>
              <w:top w:val="nil"/>
              <w:left w:val="nil"/>
              <w:bottom w:val="nil"/>
              <w:right w:val="nil"/>
            </w:tcBorders>
            <w:shd w:val="clear" w:color="DDEBF7" w:fill="DDEBF7"/>
            <w:vAlign w:val="center"/>
            <w:hideMark/>
          </w:tcPr>
          <w:p w14:paraId="6FDF8D07"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6E322A9E"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1599F0F4"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4DBD765D"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02C547D7" w14:textId="77777777" w:rsidTr="007C389A">
        <w:trPr>
          <w:trHeight w:val="576"/>
        </w:trPr>
        <w:tc>
          <w:tcPr>
            <w:tcW w:w="713" w:type="pct"/>
            <w:tcBorders>
              <w:top w:val="nil"/>
              <w:left w:val="single" w:sz="8" w:space="0" w:color="auto"/>
              <w:bottom w:val="nil"/>
              <w:right w:val="nil"/>
            </w:tcBorders>
            <w:shd w:val="clear" w:color="auto" w:fill="auto"/>
            <w:vAlign w:val="center"/>
            <w:hideMark/>
          </w:tcPr>
          <w:p w14:paraId="62F14726"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Kansas City, MO</w:t>
            </w:r>
          </w:p>
        </w:tc>
        <w:tc>
          <w:tcPr>
            <w:tcW w:w="615" w:type="pct"/>
            <w:tcBorders>
              <w:top w:val="nil"/>
              <w:left w:val="nil"/>
              <w:bottom w:val="nil"/>
              <w:right w:val="nil"/>
            </w:tcBorders>
            <w:shd w:val="clear" w:color="auto" w:fill="auto"/>
            <w:vAlign w:val="center"/>
            <w:hideMark/>
          </w:tcPr>
          <w:p w14:paraId="5D435658" w14:textId="1126E993" w:rsidR="007C389A" w:rsidRPr="007C389A" w:rsidRDefault="007C389A" w:rsidP="007C389A">
            <w:pPr>
              <w:spacing w:after="0" w:line="240" w:lineRule="auto"/>
              <w:rPr>
                <w:rFonts w:ascii="Calibri" w:eastAsia="Times New Roman" w:hAnsi="Calibri" w:cs="Calibri"/>
                <w:color w:val="44546A"/>
                <w:sz w:val="20"/>
                <w:szCs w:val="20"/>
              </w:rPr>
            </w:pPr>
            <w:r w:rsidRPr="007C389A">
              <w:rPr>
                <w:rFonts w:ascii="Calibri" w:eastAsia="Times New Roman" w:hAnsi="Calibri" w:cstheme="minorHAnsi"/>
                <w:color w:val="44546A"/>
                <w:sz w:val="20"/>
                <w:szCs w:val="20"/>
              </w:rPr>
              <w:t>St-Paul,</w:t>
            </w:r>
            <w:r>
              <w:rPr>
                <w:rFonts w:ascii="Calibri" w:eastAsia="Times New Roman" w:hAnsi="Calibri" w:cstheme="minorHAnsi"/>
                <w:color w:val="44546A"/>
                <w:sz w:val="20"/>
                <w:szCs w:val="20"/>
              </w:rPr>
              <w:t xml:space="preserve"> </w:t>
            </w:r>
            <w:r w:rsidRPr="007C389A">
              <w:rPr>
                <w:rFonts w:ascii="Calibri" w:eastAsia="Times New Roman" w:hAnsi="Calibri" w:cstheme="minorHAnsi"/>
                <w:color w:val="44546A"/>
                <w:sz w:val="20"/>
                <w:szCs w:val="20"/>
              </w:rPr>
              <w:t>MN</w:t>
            </w:r>
          </w:p>
        </w:tc>
        <w:tc>
          <w:tcPr>
            <w:tcW w:w="1128" w:type="pct"/>
            <w:tcBorders>
              <w:top w:val="nil"/>
              <w:left w:val="nil"/>
              <w:bottom w:val="nil"/>
              <w:right w:val="nil"/>
            </w:tcBorders>
            <w:shd w:val="clear" w:color="auto" w:fill="auto"/>
            <w:vAlign w:val="center"/>
            <w:hideMark/>
          </w:tcPr>
          <w:p w14:paraId="7B544A21"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Pacific Gas and Electric Company</w:t>
            </w:r>
          </w:p>
        </w:tc>
        <w:tc>
          <w:tcPr>
            <w:tcW w:w="563" w:type="pct"/>
            <w:tcBorders>
              <w:top w:val="nil"/>
              <w:left w:val="nil"/>
              <w:bottom w:val="nil"/>
              <w:right w:val="nil"/>
            </w:tcBorders>
            <w:shd w:val="clear" w:color="auto" w:fill="auto"/>
            <w:vAlign w:val="center"/>
            <w:hideMark/>
          </w:tcPr>
          <w:p w14:paraId="6BACBDDC"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5CFC9416"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60C9F0DF"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3E2A95E5"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1002044C" w14:textId="77777777" w:rsidTr="007C389A">
        <w:trPr>
          <w:trHeight w:val="288"/>
        </w:trPr>
        <w:tc>
          <w:tcPr>
            <w:tcW w:w="713" w:type="pct"/>
            <w:tcBorders>
              <w:top w:val="nil"/>
              <w:left w:val="single" w:sz="8" w:space="0" w:color="auto"/>
              <w:bottom w:val="nil"/>
              <w:right w:val="nil"/>
            </w:tcBorders>
            <w:shd w:val="clear" w:color="DDEBF7" w:fill="DDEBF7"/>
            <w:vAlign w:val="center"/>
            <w:hideMark/>
          </w:tcPr>
          <w:p w14:paraId="6561A7D2"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Los Angeles, CA</w:t>
            </w:r>
          </w:p>
        </w:tc>
        <w:tc>
          <w:tcPr>
            <w:tcW w:w="615" w:type="pct"/>
            <w:tcBorders>
              <w:top w:val="nil"/>
              <w:left w:val="nil"/>
              <w:bottom w:val="nil"/>
              <w:right w:val="nil"/>
            </w:tcBorders>
            <w:shd w:val="clear" w:color="DDEBF7" w:fill="DDEBF7"/>
            <w:vAlign w:val="center"/>
            <w:hideMark/>
          </w:tcPr>
          <w:p w14:paraId="6E6FFD47"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DDEBF7" w:fill="DDEBF7"/>
            <w:vAlign w:val="center"/>
            <w:hideMark/>
          </w:tcPr>
          <w:p w14:paraId="59548367"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PECO</w:t>
            </w:r>
          </w:p>
        </w:tc>
        <w:tc>
          <w:tcPr>
            <w:tcW w:w="563" w:type="pct"/>
            <w:tcBorders>
              <w:top w:val="nil"/>
              <w:left w:val="nil"/>
              <w:bottom w:val="nil"/>
              <w:right w:val="nil"/>
            </w:tcBorders>
            <w:shd w:val="clear" w:color="DDEBF7" w:fill="DDEBF7"/>
            <w:vAlign w:val="center"/>
            <w:hideMark/>
          </w:tcPr>
          <w:p w14:paraId="1A41F4F1"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6F5E71F4"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15468485"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4D56A4ED"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20BE58D5" w14:textId="77777777" w:rsidTr="007C389A">
        <w:trPr>
          <w:trHeight w:val="288"/>
        </w:trPr>
        <w:tc>
          <w:tcPr>
            <w:tcW w:w="713" w:type="pct"/>
            <w:tcBorders>
              <w:top w:val="nil"/>
              <w:left w:val="single" w:sz="8" w:space="0" w:color="auto"/>
              <w:bottom w:val="nil"/>
              <w:right w:val="nil"/>
            </w:tcBorders>
            <w:shd w:val="clear" w:color="auto" w:fill="auto"/>
            <w:vAlign w:val="center"/>
            <w:hideMark/>
          </w:tcPr>
          <w:p w14:paraId="386B962D" w14:textId="242875F7" w:rsidR="007C389A" w:rsidRPr="007C389A" w:rsidRDefault="007C389A" w:rsidP="007C389A">
            <w:pPr>
              <w:spacing w:after="0" w:line="240" w:lineRule="auto"/>
              <w:rPr>
                <w:rFonts w:ascii="Calibri" w:eastAsia="Times New Roman" w:hAnsi="Calibri" w:cs="Calibri"/>
                <w:color w:val="44546A"/>
              </w:rPr>
            </w:pPr>
            <w:r>
              <w:rPr>
                <w:rFonts w:ascii="Calibri" w:eastAsia="Times New Roman" w:hAnsi="Calibri" w:cs="Calibri"/>
                <w:color w:val="44546A"/>
              </w:rPr>
              <w:t>Minneapolis</w:t>
            </w:r>
            <w:r w:rsidRPr="007C389A">
              <w:rPr>
                <w:rFonts w:ascii="Calibri" w:eastAsia="Times New Roman" w:hAnsi="Calibri" w:cs="Calibri"/>
                <w:color w:val="44546A"/>
              </w:rPr>
              <w:t>, MN</w:t>
            </w:r>
          </w:p>
        </w:tc>
        <w:tc>
          <w:tcPr>
            <w:tcW w:w="615" w:type="pct"/>
            <w:tcBorders>
              <w:top w:val="nil"/>
              <w:left w:val="nil"/>
              <w:bottom w:val="nil"/>
              <w:right w:val="nil"/>
            </w:tcBorders>
            <w:shd w:val="clear" w:color="auto" w:fill="auto"/>
            <w:vAlign w:val="center"/>
            <w:hideMark/>
          </w:tcPr>
          <w:p w14:paraId="126D0987"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auto" w:fill="auto"/>
            <w:vAlign w:val="center"/>
            <w:hideMark/>
          </w:tcPr>
          <w:p w14:paraId="7C1336F6"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Pepco</w:t>
            </w:r>
          </w:p>
        </w:tc>
        <w:tc>
          <w:tcPr>
            <w:tcW w:w="563" w:type="pct"/>
            <w:tcBorders>
              <w:top w:val="nil"/>
              <w:left w:val="nil"/>
              <w:bottom w:val="nil"/>
              <w:right w:val="nil"/>
            </w:tcBorders>
            <w:shd w:val="clear" w:color="auto" w:fill="auto"/>
            <w:vAlign w:val="center"/>
            <w:hideMark/>
          </w:tcPr>
          <w:p w14:paraId="0830810B"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47D33845"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0D228E8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01C29442"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428E0F0D" w14:textId="77777777" w:rsidTr="007C389A">
        <w:trPr>
          <w:trHeight w:val="576"/>
        </w:trPr>
        <w:tc>
          <w:tcPr>
            <w:tcW w:w="713" w:type="pct"/>
            <w:tcBorders>
              <w:top w:val="nil"/>
              <w:left w:val="single" w:sz="8" w:space="0" w:color="auto"/>
              <w:bottom w:val="nil"/>
              <w:right w:val="nil"/>
            </w:tcBorders>
            <w:shd w:val="clear" w:color="DDEBF7" w:fill="DDEBF7"/>
            <w:vAlign w:val="center"/>
            <w:hideMark/>
          </w:tcPr>
          <w:p w14:paraId="4162A757"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New York, NY</w:t>
            </w:r>
          </w:p>
        </w:tc>
        <w:tc>
          <w:tcPr>
            <w:tcW w:w="615" w:type="pct"/>
            <w:tcBorders>
              <w:top w:val="nil"/>
              <w:left w:val="nil"/>
              <w:bottom w:val="nil"/>
              <w:right w:val="nil"/>
            </w:tcBorders>
            <w:shd w:val="clear" w:color="DDEBF7" w:fill="DDEBF7"/>
            <w:vAlign w:val="center"/>
            <w:hideMark/>
          </w:tcPr>
          <w:p w14:paraId="00BA9BC9"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DDEBF7" w:fill="DDEBF7"/>
            <w:vAlign w:val="center"/>
            <w:hideMark/>
          </w:tcPr>
          <w:p w14:paraId="11F72612"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Puget Sound Energy (PSE)</w:t>
            </w:r>
          </w:p>
        </w:tc>
        <w:tc>
          <w:tcPr>
            <w:tcW w:w="563" w:type="pct"/>
            <w:tcBorders>
              <w:top w:val="nil"/>
              <w:left w:val="nil"/>
              <w:bottom w:val="nil"/>
              <w:right w:val="nil"/>
            </w:tcBorders>
            <w:shd w:val="clear" w:color="DDEBF7" w:fill="DDEBF7"/>
            <w:vAlign w:val="center"/>
            <w:hideMark/>
          </w:tcPr>
          <w:p w14:paraId="517C2EEC"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2420E36C"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1CC17390"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447B202C"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68FCA2F8" w14:textId="77777777" w:rsidTr="007C389A">
        <w:trPr>
          <w:trHeight w:val="288"/>
        </w:trPr>
        <w:tc>
          <w:tcPr>
            <w:tcW w:w="713" w:type="pct"/>
            <w:tcBorders>
              <w:top w:val="nil"/>
              <w:left w:val="single" w:sz="8" w:space="0" w:color="auto"/>
              <w:bottom w:val="nil"/>
              <w:right w:val="nil"/>
            </w:tcBorders>
            <w:shd w:val="clear" w:color="auto" w:fill="auto"/>
            <w:vAlign w:val="center"/>
            <w:hideMark/>
          </w:tcPr>
          <w:p w14:paraId="5EE4421C"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Orlando, FL</w:t>
            </w:r>
          </w:p>
        </w:tc>
        <w:tc>
          <w:tcPr>
            <w:tcW w:w="615" w:type="pct"/>
            <w:tcBorders>
              <w:top w:val="nil"/>
              <w:left w:val="nil"/>
              <w:bottom w:val="nil"/>
              <w:right w:val="nil"/>
            </w:tcBorders>
            <w:shd w:val="clear" w:color="auto" w:fill="auto"/>
            <w:vAlign w:val="center"/>
            <w:hideMark/>
          </w:tcPr>
          <w:p w14:paraId="75C90496"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auto" w:fill="auto"/>
            <w:vAlign w:val="center"/>
            <w:hideMark/>
          </w:tcPr>
          <w:p w14:paraId="3BC1D538" w14:textId="77777777" w:rsidR="007C389A" w:rsidRPr="007C389A" w:rsidRDefault="007C389A" w:rsidP="007C389A">
            <w:pPr>
              <w:spacing w:after="0" w:line="240" w:lineRule="auto"/>
              <w:rPr>
                <w:rFonts w:ascii="Calibri" w:eastAsia="Times New Roman" w:hAnsi="Calibri" w:cs="Calibri"/>
                <w:color w:val="44546A"/>
              </w:rPr>
            </w:pPr>
            <w:proofErr w:type="spellStart"/>
            <w:r w:rsidRPr="007C389A">
              <w:rPr>
                <w:rFonts w:ascii="Calibri" w:eastAsia="Times New Roman" w:hAnsi="Calibri" w:cs="Calibri"/>
                <w:color w:val="44546A"/>
              </w:rPr>
              <w:t>Questar</w:t>
            </w:r>
            <w:proofErr w:type="spellEnd"/>
            <w:r w:rsidRPr="007C389A">
              <w:rPr>
                <w:rFonts w:ascii="Calibri" w:eastAsia="Times New Roman" w:hAnsi="Calibri" w:cs="Calibri"/>
                <w:color w:val="44546A"/>
              </w:rPr>
              <w:t xml:space="preserve"> Gas</w:t>
            </w:r>
          </w:p>
        </w:tc>
        <w:tc>
          <w:tcPr>
            <w:tcW w:w="563" w:type="pct"/>
            <w:tcBorders>
              <w:top w:val="nil"/>
              <w:left w:val="nil"/>
              <w:bottom w:val="nil"/>
              <w:right w:val="nil"/>
            </w:tcBorders>
            <w:shd w:val="clear" w:color="auto" w:fill="auto"/>
            <w:vAlign w:val="center"/>
            <w:hideMark/>
          </w:tcPr>
          <w:p w14:paraId="161DA062"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099E9DAE"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2513DA0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05A012C4"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22159343" w14:textId="77777777" w:rsidTr="007C389A">
        <w:trPr>
          <w:trHeight w:val="288"/>
        </w:trPr>
        <w:tc>
          <w:tcPr>
            <w:tcW w:w="713" w:type="pct"/>
            <w:tcBorders>
              <w:top w:val="nil"/>
              <w:left w:val="single" w:sz="8" w:space="0" w:color="auto"/>
              <w:bottom w:val="nil"/>
              <w:right w:val="nil"/>
            </w:tcBorders>
            <w:shd w:val="clear" w:color="DDEBF7" w:fill="DDEBF7"/>
            <w:vAlign w:val="center"/>
            <w:hideMark/>
          </w:tcPr>
          <w:p w14:paraId="3F050605"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Philadelphia, PA</w:t>
            </w:r>
          </w:p>
        </w:tc>
        <w:tc>
          <w:tcPr>
            <w:tcW w:w="615" w:type="pct"/>
            <w:tcBorders>
              <w:top w:val="nil"/>
              <w:left w:val="nil"/>
              <w:bottom w:val="nil"/>
              <w:right w:val="nil"/>
            </w:tcBorders>
            <w:shd w:val="clear" w:color="DDEBF7" w:fill="DDEBF7"/>
            <w:vAlign w:val="center"/>
            <w:hideMark/>
          </w:tcPr>
          <w:p w14:paraId="3EC4C64F"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DDEBF7" w:fill="DDEBF7"/>
            <w:vAlign w:val="center"/>
            <w:hideMark/>
          </w:tcPr>
          <w:p w14:paraId="1DF88C09"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Reliant/NRG</w:t>
            </w:r>
          </w:p>
        </w:tc>
        <w:tc>
          <w:tcPr>
            <w:tcW w:w="563" w:type="pct"/>
            <w:tcBorders>
              <w:top w:val="nil"/>
              <w:left w:val="nil"/>
              <w:bottom w:val="nil"/>
              <w:right w:val="nil"/>
            </w:tcBorders>
            <w:shd w:val="clear" w:color="DDEBF7" w:fill="DDEBF7"/>
            <w:vAlign w:val="center"/>
            <w:hideMark/>
          </w:tcPr>
          <w:p w14:paraId="6320E5BF"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001ABE3C"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1D00C23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41277739"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6C6B04A0" w14:textId="77777777" w:rsidTr="007C389A">
        <w:trPr>
          <w:trHeight w:val="288"/>
        </w:trPr>
        <w:tc>
          <w:tcPr>
            <w:tcW w:w="713" w:type="pct"/>
            <w:tcBorders>
              <w:top w:val="nil"/>
              <w:left w:val="single" w:sz="8" w:space="0" w:color="auto"/>
              <w:bottom w:val="nil"/>
              <w:right w:val="nil"/>
            </w:tcBorders>
            <w:shd w:val="clear" w:color="auto" w:fill="auto"/>
            <w:vAlign w:val="center"/>
            <w:hideMark/>
          </w:tcPr>
          <w:p w14:paraId="30BF24BE"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 xml:space="preserve">Salt Lake </w:t>
            </w:r>
            <w:r w:rsidRPr="007C389A">
              <w:rPr>
                <w:rFonts w:ascii="Calibri" w:eastAsia="Times New Roman" w:hAnsi="Calibri" w:cs="Calibri"/>
                <w:color w:val="44546A"/>
              </w:rPr>
              <w:lastRenderedPageBreak/>
              <w:t>City, UT</w:t>
            </w:r>
          </w:p>
        </w:tc>
        <w:tc>
          <w:tcPr>
            <w:tcW w:w="615" w:type="pct"/>
            <w:tcBorders>
              <w:top w:val="nil"/>
              <w:left w:val="nil"/>
              <w:bottom w:val="nil"/>
              <w:right w:val="nil"/>
            </w:tcBorders>
            <w:shd w:val="clear" w:color="auto" w:fill="auto"/>
            <w:vAlign w:val="center"/>
            <w:hideMark/>
          </w:tcPr>
          <w:p w14:paraId="2FF157BA"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auto" w:fill="auto"/>
            <w:vAlign w:val="center"/>
            <w:hideMark/>
          </w:tcPr>
          <w:p w14:paraId="58BF581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 xml:space="preserve">Rocky Mountain </w:t>
            </w:r>
            <w:r w:rsidRPr="007C389A">
              <w:rPr>
                <w:rFonts w:ascii="Calibri" w:eastAsia="Times New Roman" w:hAnsi="Calibri" w:cs="Calibri"/>
                <w:color w:val="44546A"/>
              </w:rPr>
              <w:lastRenderedPageBreak/>
              <w:t>Power</w:t>
            </w:r>
          </w:p>
        </w:tc>
        <w:tc>
          <w:tcPr>
            <w:tcW w:w="563" w:type="pct"/>
            <w:tcBorders>
              <w:top w:val="nil"/>
              <w:left w:val="nil"/>
              <w:bottom w:val="nil"/>
              <w:right w:val="nil"/>
            </w:tcBorders>
            <w:shd w:val="clear" w:color="auto" w:fill="auto"/>
            <w:vAlign w:val="center"/>
            <w:hideMark/>
          </w:tcPr>
          <w:p w14:paraId="3FA2EB7B"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68309CF5"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2C02439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6DE7B080"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1FC0FF10" w14:textId="77777777" w:rsidTr="007C389A">
        <w:trPr>
          <w:trHeight w:val="576"/>
        </w:trPr>
        <w:tc>
          <w:tcPr>
            <w:tcW w:w="713" w:type="pct"/>
            <w:tcBorders>
              <w:top w:val="nil"/>
              <w:left w:val="single" w:sz="8" w:space="0" w:color="auto"/>
              <w:bottom w:val="nil"/>
              <w:right w:val="nil"/>
            </w:tcBorders>
            <w:shd w:val="clear" w:color="DDEBF7" w:fill="DDEBF7"/>
            <w:vAlign w:val="center"/>
            <w:hideMark/>
          </w:tcPr>
          <w:p w14:paraId="609D5E24"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San Diego, CA</w:t>
            </w:r>
          </w:p>
        </w:tc>
        <w:tc>
          <w:tcPr>
            <w:tcW w:w="615" w:type="pct"/>
            <w:tcBorders>
              <w:top w:val="nil"/>
              <w:left w:val="nil"/>
              <w:bottom w:val="nil"/>
              <w:right w:val="nil"/>
            </w:tcBorders>
            <w:shd w:val="clear" w:color="DDEBF7" w:fill="DDEBF7"/>
            <w:vAlign w:val="center"/>
            <w:hideMark/>
          </w:tcPr>
          <w:p w14:paraId="10317A33"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DDEBF7" w:fill="DDEBF7"/>
            <w:vAlign w:val="center"/>
            <w:hideMark/>
          </w:tcPr>
          <w:p w14:paraId="5529B850"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San Diego Gas &amp; Electric (SDG&amp;E)</w:t>
            </w:r>
          </w:p>
        </w:tc>
        <w:tc>
          <w:tcPr>
            <w:tcW w:w="563" w:type="pct"/>
            <w:tcBorders>
              <w:top w:val="nil"/>
              <w:left w:val="nil"/>
              <w:bottom w:val="nil"/>
              <w:right w:val="nil"/>
            </w:tcBorders>
            <w:shd w:val="clear" w:color="DDEBF7" w:fill="DDEBF7"/>
            <w:vAlign w:val="center"/>
            <w:hideMark/>
          </w:tcPr>
          <w:p w14:paraId="3C90C156"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1855C5C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2D912C59"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355F2FFE"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377EC268" w14:textId="77777777" w:rsidTr="007C389A">
        <w:trPr>
          <w:trHeight w:val="576"/>
        </w:trPr>
        <w:tc>
          <w:tcPr>
            <w:tcW w:w="713" w:type="pct"/>
            <w:tcBorders>
              <w:top w:val="nil"/>
              <w:left w:val="single" w:sz="8" w:space="0" w:color="auto"/>
              <w:bottom w:val="nil"/>
              <w:right w:val="nil"/>
            </w:tcBorders>
            <w:shd w:val="clear" w:color="auto" w:fill="auto"/>
            <w:vAlign w:val="center"/>
            <w:hideMark/>
          </w:tcPr>
          <w:p w14:paraId="4A05CFD8"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San Francisco, CA</w:t>
            </w:r>
          </w:p>
        </w:tc>
        <w:tc>
          <w:tcPr>
            <w:tcW w:w="615" w:type="pct"/>
            <w:tcBorders>
              <w:top w:val="nil"/>
              <w:left w:val="nil"/>
              <w:bottom w:val="nil"/>
              <w:right w:val="nil"/>
            </w:tcBorders>
            <w:shd w:val="clear" w:color="auto" w:fill="auto"/>
            <w:vAlign w:val="center"/>
            <w:hideMark/>
          </w:tcPr>
          <w:p w14:paraId="5C0372CD"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auto" w:fill="auto"/>
            <w:vAlign w:val="center"/>
            <w:hideMark/>
          </w:tcPr>
          <w:p w14:paraId="0B57FA71"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Southern California Edison</w:t>
            </w:r>
          </w:p>
        </w:tc>
        <w:tc>
          <w:tcPr>
            <w:tcW w:w="563" w:type="pct"/>
            <w:tcBorders>
              <w:top w:val="nil"/>
              <w:left w:val="nil"/>
              <w:bottom w:val="nil"/>
              <w:right w:val="nil"/>
            </w:tcBorders>
            <w:shd w:val="clear" w:color="auto" w:fill="auto"/>
            <w:vAlign w:val="center"/>
            <w:hideMark/>
          </w:tcPr>
          <w:p w14:paraId="492F7DF8"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auto" w:fill="auto"/>
            <w:vAlign w:val="center"/>
            <w:hideMark/>
          </w:tcPr>
          <w:p w14:paraId="3E00606C"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auto" w:fill="auto"/>
            <w:vAlign w:val="center"/>
            <w:hideMark/>
          </w:tcPr>
          <w:p w14:paraId="2F7FD418"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auto" w:fill="auto"/>
            <w:vAlign w:val="center"/>
            <w:hideMark/>
          </w:tcPr>
          <w:p w14:paraId="55F873C9"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5A7592E9" w14:textId="77777777" w:rsidTr="007C389A">
        <w:trPr>
          <w:trHeight w:val="288"/>
        </w:trPr>
        <w:tc>
          <w:tcPr>
            <w:tcW w:w="713" w:type="pct"/>
            <w:tcBorders>
              <w:top w:val="nil"/>
              <w:left w:val="single" w:sz="8" w:space="0" w:color="auto"/>
              <w:bottom w:val="nil"/>
              <w:right w:val="nil"/>
            </w:tcBorders>
            <w:shd w:val="clear" w:color="DDEBF7" w:fill="DDEBF7"/>
            <w:vAlign w:val="center"/>
            <w:hideMark/>
          </w:tcPr>
          <w:p w14:paraId="14F4E833"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Santa Monica, CA</w:t>
            </w:r>
          </w:p>
        </w:tc>
        <w:tc>
          <w:tcPr>
            <w:tcW w:w="615" w:type="pct"/>
            <w:tcBorders>
              <w:top w:val="nil"/>
              <w:left w:val="nil"/>
              <w:bottom w:val="nil"/>
              <w:right w:val="nil"/>
            </w:tcBorders>
            <w:shd w:val="clear" w:color="DDEBF7" w:fill="DDEBF7"/>
            <w:vAlign w:val="center"/>
            <w:hideMark/>
          </w:tcPr>
          <w:p w14:paraId="127CACE5"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nil"/>
              <w:right w:val="nil"/>
            </w:tcBorders>
            <w:shd w:val="clear" w:color="DDEBF7" w:fill="DDEBF7"/>
            <w:vAlign w:val="center"/>
            <w:hideMark/>
          </w:tcPr>
          <w:p w14:paraId="540181CA"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Southern California Gas</w:t>
            </w:r>
          </w:p>
        </w:tc>
        <w:tc>
          <w:tcPr>
            <w:tcW w:w="563" w:type="pct"/>
            <w:tcBorders>
              <w:top w:val="nil"/>
              <w:left w:val="nil"/>
              <w:bottom w:val="nil"/>
              <w:right w:val="nil"/>
            </w:tcBorders>
            <w:shd w:val="clear" w:color="DDEBF7" w:fill="DDEBF7"/>
            <w:vAlign w:val="center"/>
            <w:hideMark/>
          </w:tcPr>
          <w:p w14:paraId="58DD0FDA"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nil"/>
              <w:right w:val="nil"/>
            </w:tcBorders>
            <w:shd w:val="clear" w:color="DDEBF7" w:fill="DDEBF7"/>
            <w:vAlign w:val="center"/>
            <w:hideMark/>
          </w:tcPr>
          <w:p w14:paraId="33B6067F"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nil"/>
              <w:right w:val="nil"/>
            </w:tcBorders>
            <w:shd w:val="clear" w:color="DDEBF7" w:fill="DDEBF7"/>
            <w:vAlign w:val="center"/>
            <w:hideMark/>
          </w:tcPr>
          <w:p w14:paraId="692409FB"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nil"/>
              <w:right w:val="single" w:sz="8" w:space="0" w:color="auto"/>
            </w:tcBorders>
            <w:shd w:val="clear" w:color="DDEBF7" w:fill="DDEBF7"/>
            <w:vAlign w:val="center"/>
            <w:hideMark/>
          </w:tcPr>
          <w:p w14:paraId="269FC5D7"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726298CA" w14:textId="77777777" w:rsidTr="007C389A">
        <w:trPr>
          <w:trHeight w:val="300"/>
        </w:trPr>
        <w:tc>
          <w:tcPr>
            <w:tcW w:w="713" w:type="pct"/>
            <w:tcBorders>
              <w:top w:val="nil"/>
              <w:left w:val="single" w:sz="8" w:space="0" w:color="auto"/>
              <w:bottom w:val="single" w:sz="8" w:space="0" w:color="auto"/>
              <w:right w:val="nil"/>
            </w:tcBorders>
            <w:shd w:val="clear" w:color="auto" w:fill="auto"/>
            <w:vAlign w:val="center"/>
            <w:hideMark/>
          </w:tcPr>
          <w:p w14:paraId="6B91CB42"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Seattle, WA</w:t>
            </w:r>
          </w:p>
        </w:tc>
        <w:tc>
          <w:tcPr>
            <w:tcW w:w="615" w:type="pct"/>
            <w:tcBorders>
              <w:top w:val="nil"/>
              <w:left w:val="nil"/>
              <w:bottom w:val="single" w:sz="8" w:space="0" w:color="auto"/>
              <w:right w:val="nil"/>
            </w:tcBorders>
            <w:shd w:val="clear" w:color="auto" w:fill="auto"/>
            <w:vAlign w:val="center"/>
            <w:hideMark/>
          </w:tcPr>
          <w:p w14:paraId="532FA247" w14:textId="77777777" w:rsidR="007C389A" w:rsidRPr="007C389A" w:rsidRDefault="007C389A" w:rsidP="007C389A">
            <w:pPr>
              <w:spacing w:after="0" w:line="240" w:lineRule="auto"/>
              <w:rPr>
                <w:rFonts w:ascii="Calibri" w:eastAsia="Times New Roman" w:hAnsi="Calibri" w:cs="Calibri"/>
                <w:color w:val="44546A"/>
              </w:rPr>
            </w:pPr>
          </w:p>
        </w:tc>
        <w:tc>
          <w:tcPr>
            <w:tcW w:w="1128" w:type="pct"/>
            <w:tcBorders>
              <w:top w:val="nil"/>
              <w:left w:val="nil"/>
              <w:bottom w:val="single" w:sz="8" w:space="0" w:color="auto"/>
              <w:right w:val="nil"/>
            </w:tcBorders>
            <w:shd w:val="clear" w:color="auto" w:fill="auto"/>
            <w:vAlign w:val="center"/>
            <w:hideMark/>
          </w:tcPr>
          <w:p w14:paraId="65716F02" w14:textId="77777777" w:rsidR="007C389A" w:rsidRPr="007C389A" w:rsidRDefault="007C389A" w:rsidP="007C389A">
            <w:pPr>
              <w:spacing w:after="0" w:line="240" w:lineRule="auto"/>
              <w:rPr>
                <w:rFonts w:ascii="Calibri" w:eastAsia="Times New Roman" w:hAnsi="Calibri" w:cs="Calibri"/>
                <w:color w:val="44546A"/>
              </w:rPr>
            </w:pPr>
            <w:r w:rsidRPr="007C389A">
              <w:rPr>
                <w:rFonts w:ascii="Calibri" w:eastAsia="Times New Roman" w:hAnsi="Calibri" w:cs="Calibri"/>
                <w:color w:val="44546A"/>
              </w:rPr>
              <w:t>Xcel Energy</w:t>
            </w:r>
          </w:p>
        </w:tc>
        <w:tc>
          <w:tcPr>
            <w:tcW w:w="563" w:type="pct"/>
            <w:tcBorders>
              <w:top w:val="nil"/>
              <w:left w:val="nil"/>
              <w:bottom w:val="single" w:sz="8" w:space="0" w:color="auto"/>
              <w:right w:val="nil"/>
            </w:tcBorders>
            <w:shd w:val="clear" w:color="auto" w:fill="auto"/>
            <w:vAlign w:val="center"/>
            <w:hideMark/>
          </w:tcPr>
          <w:p w14:paraId="4BBC8B2C" w14:textId="77777777" w:rsidR="007C389A" w:rsidRPr="007C389A" w:rsidRDefault="007C389A" w:rsidP="007C389A">
            <w:pPr>
              <w:spacing w:after="0" w:line="240" w:lineRule="auto"/>
              <w:rPr>
                <w:rFonts w:ascii="Calibri" w:eastAsia="Times New Roman" w:hAnsi="Calibri" w:cs="Calibri"/>
                <w:color w:val="44546A"/>
              </w:rPr>
            </w:pPr>
          </w:p>
        </w:tc>
        <w:tc>
          <w:tcPr>
            <w:tcW w:w="516" w:type="pct"/>
            <w:tcBorders>
              <w:top w:val="nil"/>
              <w:left w:val="nil"/>
              <w:bottom w:val="single" w:sz="8" w:space="0" w:color="auto"/>
              <w:right w:val="nil"/>
            </w:tcBorders>
            <w:shd w:val="clear" w:color="auto" w:fill="auto"/>
            <w:vAlign w:val="center"/>
            <w:hideMark/>
          </w:tcPr>
          <w:p w14:paraId="1B3402F5"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798" w:type="pct"/>
            <w:tcBorders>
              <w:top w:val="nil"/>
              <w:left w:val="nil"/>
              <w:bottom w:val="single" w:sz="8" w:space="0" w:color="auto"/>
              <w:right w:val="nil"/>
            </w:tcBorders>
            <w:shd w:val="clear" w:color="auto" w:fill="auto"/>
            <w:vAlign w:val="center"/>
            <w:hideMark/>
          </w:tcPr>
          <w:p w14:paraId="35624107" w14:textId="77777777" w:rsidR="007C389A" w:rsidRPr="007C389A" w:rsidRDefault="007C389A" w:rsidP="007C389A">
            <w:pPr>
              <w:spacing w:after="0" w:line="240" w:lineRule="auto"/>
              <w:rPr>
                <w:rFonts w:ascii="Times New Roman" w:eastAsia="Times New Roman" w:hAnsi="Times New Roman" w:cs="Times New Roman"/>
                <w:sz w:val="20"/>
                <w:szCs w:val="20"/>
              </w:rPr>
            </w:pPr>
          </w:p>
        </w:tc>
        <w:tc>
          <w:tcPr>
            <w:tcW w:w="667" w:type="pct"/>
            <w:tcBorders>
              <w:top w:val="nil"/>
              <w:left w:val="nil"/>
              <w:bottom w:val="single" w:sz="8" w:space="0" w:color="auto"/>
              <w:right w:val="single" w:sz="8" w:space="0" w:color="auto"/>
            </w:tcBorders>
            <w:shd w:val="clear" w:color="auto" w:fill="auto"/>
            <w:vAlign w:val="center"/>
            <w:hideMark/>
          </w:tcPr>
          <w:p w14:paraId="15658316" w14:textId="77777777" w:rsidR="007C389A" w:rsidRPr="007C389A" w:rsidRDefault="007C389A" w:rsidP="007C389A">
            <w:pPr>
              <w:spacing w:after="0" w:line="240" w:lineRule="auto"/>
              <w:rPr>
                <w:rFonts w:ascii="Times New Roman" w:eastAsia="Times New Roman" w:hAnsi="Times New Roman" w:cs="Times New Roman"/>
                <w:sz w:val="20"/>
                <w:szCs w:val="20"/>
              </w:rPr>
            </w:pPr>
          </w:p>
        </w:tc>
      </w:tr>
      <w:tr w:rsidR="007C389A" w:rsidRPr="007C389A" w14:paraId="530D39C8" w14:textId="77777777" w:rsidTr="007C389A">
        <w:trPr>
          <w:trHeight w:val="300"/>
        </w:trPr>
        <w:tc>
          <w:tcPr>
            <w:tcW w:w="1328" w:type="pct"/>
            <w:gridSpan w:val="2"/>
            <w:tcBorders>
              <w:top w:val="single" w:sz="8" w:space="0" w:color="auto"/>
              <w:left w:val="single" w:sz="8" w:space="0" w:color="auto"/>
              <w:bottom w:val="single" w:sz="8" w:space="0" w:color="auto"/>
              <w:right w:val="nil"/>
            </w:tcBorders>
            <w:shd w:val="clear" w:color="000000" w:fill="33CCFF"/>
            <w:vAlign w:val="center"/>
            <w:hideMark/>
          </w:tcPr>
          <w:p w14:paraId="64621BC7" w14:textId="69C1444F" w:rsidR="007C389A" w:rsidRPr="007C389A" w:rsidRDefault="007C389A" w:rsidP="007C389A">
            <w:pPr>
              <w:spacing w:after="0" w:line="240" w:lineRule="auto"/>
              <w:jc w:val="center"/>
              <w:rPr>
                <w:rFonts w:ascii="Calibri" w:eastAsia="Times New Roman" w:hAnsi="Calibri" w:cs="Calibri"/>
                <w:b/>
                <w:bCs/>
                <w:color w:val="44546A"/>
              </w:rPr>
            </w:pPr>
            <w:r>
              <w:rPr>
                <w:rFonts w:ascii="Calibri" w:eastAsia="Times New Roman" w:hAnsi="Calibri" w:cs="Calibri"/>
                <w:b/>
                <w:bCs/>
                <w:color w:val="44546A"/>
              </w:rPr>
              <w:t>3</w:t>
            </w:r>
            <w:r w:rsidRPr="007C389A">
              <w:rPr>
                <w:rFonts w:ascii="Calibri" w:eastAsia="Times New Roman" w:hAnsi="Calibri" w:cs="Calibri"/>
                <w:b/>
                <w:bCs/>
                <w:color w:val="44546A"/>
              </w:rPr>
              <w:t>0</w:t>
            </w:r>
          </w:p>
        </w:tc>
        <w:tc>
          <w:tcPr>
            <w:tcW w:w="1128" w:type="pct"/>
            <w:tcBorders>
              <w:top w:val="single" w:sz="8" w:space="0" w:color="auto"/>
              <w:left w:val="nil"/>
              <w:bottom w:val="single" w:sz="8" w:space="0" w:color="auto"/>
              <w:right w:val="nil"/>
            </w:tcBorders>
            <w:shd w:val="clear" w:color="000000" w:fill="33CCFF"/>
            <w:vAlign w:val="center"/>
            <w:hideMark/>
          </w:tcPr>
          <w:p w14:paraId="22D0821A" w14:textId="77777777" w:rsidR="007C389A" w:rsidRPr="007C389A" w:rsidRDefault="007C389A" w:rsidP="007C389A">
            <w:pPr>
              <w:spacing w:after="0" w:line="240" w:lineRule="auto"/>
              <w:jc w:val="right"/>
              <w:rPr>
                <w:rFonts w:ascii="Calibri" w:eastAsia="Times New Roman" w:hAnsi="Calibri" w:cs="Calibri"/>
                <w:b/>
                <w:bCs/>
                <w:color w:val="44546A"/>
              </w:rPr>
            </w:pPr>
            <w:r w:rsidRPr="007C389A">
              <w:rPr>
                <w:rFonts w:ascii="Calibri" w:eastAsia="Times New Roman" w:hAnsi="Calibri" w:cs="Calibri"/>
                <w:b/>
                <w:bCs/>
                <w:color w:val="44546A"/>
              </w:rPr>
              <w:t>20</w:t>
            </w:r>
          </w:p>
        </w:tc>
        <w:tc>
          <w:tcPr>
            <w:tcW w:w="563" w:type="pct"/>
            <w:tcBorders>
              <w:top w:val="single" w:sz="8" w:space="0" w:color="auto"/>
              <w:left w:val="nil"/>
              <w:bottom w:val="single" w:sz="8" w:space="0" w:color="auto"/>
              <w:right w:val="nil"/>
            </w:tcBorders>
            <w:shd w:val="clear" w:color="000000" w:fill="33CCFF"/>
            <w:vAlign w:val="center"/>
            <w:hideMark/>
          </w:tcPr>
          <w:p w14:paraId="341BECFF" w14:textId="77777777" w:rsidR="007C389A" w:rsidRPr="007C389A" w:rsidRDefault="007C389A" w:rsidP="007C389A">
            <w:pPr>
              <w:spacing w:after="0" w:line="240" w:lineRule="auto"/>
              <w:jc w:val="right"/>
              <w:rPr>
                <w:rFonts w:ascii="Calibri" w:eastAsia="Times New Roman" w:hAnsi="Calibri" w:cs="Calibri"/>
                <w:b/>
                <w:bCs/>
                <w:color w:val="44546A"/>
              </w:rPr>
            </w:pPr>
            <w:r w:rsidRPr="007C389A">
              <w:rPr>
                <w:rFonts w:ascii="Calibri" w:eastAsia="Times New Roman" w:hAnsi="Calibri" w:cs="Calibri"/>
                <w:b/>
                <w:bCs/>
                <w:color w:val="44546A"/>
              </w:rPr>
              <w:t>2</w:t>
            </w:r>
          </w:p>
        </w:tc>
        <w:tc>
          <w:tcPr>
            <w:tcW w:w="516" w:type="pct"/>
            <w:tcBorders>
              <w:top w:val="single" w:sz="8" w:space="0" w:color="auto"/>
              <w:left w:val="nil"/>
              <w:bottom w:val="single" w:sz="8" w:space="0" w:color="auto"/>
              <w:right w:val="nil"/>
            </w:tcBorders>
            <w:shd w:val="clear" w:color="000000" w:fill="33CCFF"/>
            <w:vAlign w:val="center"/>
            <w:hideMark/>
          </w:tcPr>
          <w:p w14:paraId="2E5FCC67" w14:textId="77777777" w:rsidR="007C389A" w:rsidRPr="007C389A" w:rsidRDefault="007C389A" w:rsidP="007C389A">
            <w:pPr>
              <w:spacing w:after="0" w:line="240" w:lineRule="auto"/>
              <w:jc w:val="right"/>
              <w:rPr>
                <w:rFonts w:ascii="Calibri" w:eastAsia="Times New Roman" w:hAnsi="Calibri" w:cs="Calibri"/>
                <w:b/>
                <w:bCs/>
                <w:color w:val="44546A"/>
              </w:rPr>
            </w:pPr>
            <w:r w:rsidRPr="007C389A">
              <w:rPr>
                <w:rFonts w:ascii="Calibri" w:eastAsia="Times New Roman" w:hAnsi="Calibri" w:cs="Calibri"/>
                <w:b/>
                <w:bCs/>
                <w:color w:val="44546A"/>
              </w:rPr>
              <w:t>4</w:t>
            </w:r>
          </w:p>
        </w:tc>
        <w:tc>
          <w:tcPr>
            <w:tcW w:w="798" w:type="pct"/>
            <w:tcBorders>
              <w:top w:val="single" w:sz="8" w:space="0" w:color="auto"/>
              <w:left w:val="nil"/>
              <w:bottom w:val="single" w:sz="8" w:space="0" w:color="auto"/>
              <w:right w:val="nil"/>
            </w:tcBorders>
            <w:shd w:val="clear" w:color="000000" w:fill="33CCFF"/>
            <w:vAlign w:val="center"/>
            <w:hideMark/>
          </w:tcPr>
          <w:p w14:paraId="2C31561F" w14:textId="77777777" w:rsidR="007C389A" w:rsidRPr="007C389A" w:rsidRDefault="007C389A" w:rsidP="007C389A">
            <w:pPr>
              <w:spacing w:after="0" w:line="240" w:lineRule="auto"/>
              <w:jc w:val="right"/>
              <w:rPr>
                <w:rFonts w:ascii="Calibri" w:eastAsia="Times New Roman" w:hAnsi="Calibri" w:cs="Calibri"/>
                <w:b/>
                <w:bCs/>
                <w:color w:val="44546A"/>
              </w:rPr>
            </w:pPr>
            <w:r w:rsidRPr="007C389A">
              <w:rPr>
                <w:rFonts w:ascii="Calibri" w:eastAsia="Times New Roman" w:hAnsi="Calibri" w:cs="Calibri"/>
                <w:b/>
                <w:bCs/>
                <w:color w:val="44546A"/>
              </w:rPr>
              <w:t>4</w:t>
            </w:r>
          </w:p>
        </w:tc>
        <w:tc>
          <w:tcPr>
            <w:tcW w:w="667" w:type="pct"/>
            <w:tcBorders>
              <w:top w:val="single" w:sz="8" w:space="0" w:color="auto"/>
              <w:left w:val="nil"/>
              <w:bottom w:val="single" w:sz="8" w:space="0" w:color="auto"/>
              <w:right w:val="single" w:sz="8" w:space="0" w:color="auto"/>
            </w:tcBorders>
            <w:shd w:val="clear" w:color="000000" w:fill="33CCFF"/>
            <w:vAlign w:val="center"/>
            <w:hideMark/>
          </w:tcPr>
          <w:p w14:paraId="7BC1C0C5" w14:textId="77777777" w:rsidR="007C389A" w:rsidRPr="007C389A" w:rsidRDefault="007C389A" w:rsidP="007C389A">
            <w:pPr>
              <w:spacing w:after="0" w:line="240" w:lineRule="auto"/>
              <w:jc w:val="right"/>
              <w:rPr>
                <w:rFonts w:ascii="Calibri" w:eastAsia="Times New Roman" w:hAnsi="Calibri" w:cs="Calibri"/>
                <w:b/>
                <w:bCs/>
                <w:color w:val="44546A"/>
              </w:rPr>
            </w:pPr>
            <w:r w:rsidRPr="007C389A">
              <w:rPr>
                <w:rFonts w:ascii="Calibri" w:eastAsia="Times New Roman" w:hAnsi="Calibri" w:cs="Calibri"/>
                <w:b/>
                <w:bCs/>
                <w:color w:val="44546A"/>
              </w:rPr>
              <w:t>2</w:t>
            </w:r>
          </w:p>
        </w:tc>
      </w:tr>
    </w:tbl>
    <w:p w14:paraId="46D5DF2E" w14:textId="1367536F" w:rsidR="000D76C9" w:rsidRPr="000D76C9" w:rsidRDefault="000D76C9" w:rsidP="000D76C9">
      <w:pPr>
        <w:pStyle w:val="Caption"/>
      </w:pPr>
      <w:bookmarkStart w:id="18" w:name="_Toc532165387"/>
      <w:r>
        <w:t xml:space="preserve">Table </w:t>
      </w:r>
      <w:r w:rsidR="00461074">
        <w:rPr>
          <w:noProof/>
        </w:rPr>
        <w:fldChar w:fldCharType="begin"/>
      </w:r>
      <w:r w:rsidR="00461074">
        <w:rPr>
          <w:noProof/>
        </w:rPr>
        <w:instrText xml:space="preserve"> SEQ Table \* ARABIC </w:instrText>
      </w:r>
      <w:r w:rsidR="00461074">
        <w:rPr>
          <w:noProof/>
        </w:rPr>
        <w:fldChar w:fldCharType="separate"/>
      </w:r>
      <w:r w:rsidR="00121B40">
        <w:rPr>
          <w:noProof/>
        </w:rPr>
        <w:t>2</w:t>
      </w:r>
      <w:r w:rsidR="00461074">
        <w:rPr>
          <w:noProof/>
        </w:rPr>
        <w:fldChar w:fldCharType="end"/>
      </w:r>
      <w:r>
        <w:t>: stakeholder groups that provided insight through interview, working group and meetings</w:t>
      </w:r>
      <w:bookmarkEnd w:id="18"/>
    </w:p>
    <w:p w14:paraId="0FB7AAF8" w14:textId="3676822C" w:rsidR="00B60504" w:rsidRDefault="00B60504" w:rsidP="00B60504">
      <w:r>
        <w:t>Sample questions to local government:</w:t>
      </w:r>
    </w:p>
    <w:p w14:paraId="58497598" w14:textId="0FE65F30" w:rsidR="00B60504" w:rsidRPr="00B60504" w:rsidRDefault="00B60504" w:rsidP="00B60504">
      <w:r>
        <w:t xml:space="preserve"> “</w:t>
      </w:r>
      <w:r w:rsidR="007C389A">
        <w:t xml:space="preserve">Q2. </w:t>
      </w:r>
      <w:r w:rsidRPr="00B60504">
        <w:t>Did any particular stakeholder group establish themselves as a leader, a convener, or in any way take a more active role than other participants?</w:t>
      </w:r>
      <w:r>
        <w:t>”</w:t>
      </w:r>
    </w:p>
    <w:p w14:paraId="57BC5223" w14:textId="2A49007A" w:rsidR="00A14972" w:rsidRDefault="00A14972" w:rsidP="004B7560">
      <w:pPr>
        <w:pStyle w:val="Heading3"/>
      </w:pPr>
      <w:r>
        <w:t>Results:</w:t>
      </w:r>
    </w:p>
    <w:p w14:paraId="3B54A01E" w14:textId="16A28190" w:rsidR="003200F2" w:rsidRDefault="007017FC" w:rsidP="004B7560">
      <w:r>
        <w:t>The stakeholders involved in the</w:t>
      </w:r>
      <w:r w:rsidR="004B7560">
        <w:t xml:space="preserve"> various cities </w:t>
      </w:r>
      <w:proofErr w:type="gramStart"/>
      <w:r w:rsidR="004B7560">
        <w:t>are listed</w:t>
      </w:r>
      <w:proofErr w:type="gramEnd"/>
      <w:r w:rsidR="004B7560">
        <w:t xml:space="preserve"> in table 3</w:t>
      </w:r>
      <w:r>
        <w:t>.</w:t>
      </w:r>
      <w:r w:rsidRPr="007017FC">
        <w:t xml:space="preserve"> </w:t>
      </w:r>
      <w:r>
        <w:t xml:space="preserve">The table is a sample of the stakeholders </w:t>
      </w:r>
      <w:r w:rsidR="004B7560">
        <w:t>engaged in the cities listed</w:t>
      </w:r>
      <w:r>
        <w:t xml:space="preserve">. Feedback </w:t>
      </w:r>
      <w:proofErr w:type="gramStart"/>
      <w:r>
        <w:t>was provided</w:t>
      </w:r>
      <w:proofErr w:type="gramEnd"/>
      <w:r>
        <w:t xml:space="preserve"> from other cities for aggregated use only.</w:t>
      </w:r>
    </w:p>
    <w:tbl>
      <w:tblPr>
        <w:tblStyle w:val="PlainTable4"/>
        <w:tblW w:w="5000" w:type="pct"/>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1988"/>
        <w:gridCol w:w="1157"/>
        <w:gridCol w:w="1187"/>
        <w:gridCol w:w="1124"/>
        <w:gridCol w:w="1224"/>
        <w:gridCol w:w="1224"/>
        <w:gridCol w:w="1672"/>
      </w:tblGrid>
      <w:tr w:rsidR="00F6073A" w:rsidRPr="00F6073A" w14:paraId="76E0FB98" w14:textId="77777777" w:rsidTr="00F6073A">
        <w:trPr>
          <w:cnfStyle w:val="100000000000" w:firstRow="1" w:lastRow="0" w:firstColumn="0" w:lastColumn="0" w:oddVBand="0" w:evenVBand="0" w:oddHBand="0" w:evenHBand="0" w:firstRowFirstColumn="0" w:firstRowLastColumn="0" w:lastRowFirstColumn="0" w:lastRowLastColumn="0"/>
          <w:trHeight w:val="600"/>
        </w:trPr>
        <w:tc>
          <w:tcPr>
            <w:tcW w:w="1038" w:type="pct"/>
            <w:hideMark/>
          </w:tcPr>
          <w:p w14:paraId="24A94516" w14:textId="3C4F2FD1" w:rsidR="00F6073A" w:rsidRPr="00F6073A" w:rsidRDefault="00F6073A" w:rsidP="00F6073A">
            <w:pPr>
              <w:ind w:firstLineChars="100" w:firstLine="220"/>
              <w:jc w:val="center"/>
              <w:rPr>
                <w:rFonts w:ascii="Calibri" w:eastAsia="Times New Roman" w:hAnsi="Calibri" w:cs="Calibri"/>
                <w:color w:val="000000"/>
              </w:rPr>
            </w:pPr>
            <w:r w:rsidRPr="00F6073A">
              <w:rPr>
                <w:rFonts w:ascii="Calibri" w:eastAsia="Times New Roman" w:hAnsi="Calibri" w:cs="Calibri"/>
                <w:bCs w:val="0"/>
                <w:color w:val="000000"/>
              </w:rPr>
              <w:t>City</w:t>
            </w:r>
          </w:p>
        </w:tc>
        <w:tc>
          <w:tcPr>
            <w:tcW w:w="604" w:type="pct"/>
            <w:hideMark/>
          </w:tcPr>
          <w:p w14:paraId="0CCC1BEF"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Utility</w:t>
            </w:r>
          </w:p>
        </w:tc>
        <w:tc>
          <w:tcPr>
            <w:tcW w:w="620" w:type="pct"/>
            <w:hideMark/>
          </w:tcPr>
          <w:p w14:paraId="0D58697B"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USGBC</w:t>
            </w:r>
          </w:p>
        </w:tc>
        <w:tc>
          <w:tcPr>
            <w:tcW w:w="587" w:type="pct"/>
            <w:hideMark/>
          </w:tcPr>
          <w:p w14:paraId="13D35C5E"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REEO</w:t>
            </w:r>
          </w:p>
        </w:tc>
        <w:tc>
          <w:tcPr>
            <w:tcW w:w="639" w:type="pct"/>
            <w:hideMark/>
          </w:tcPr>
          <w:p w14:paraId="2E8B3CF8"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Owners Assoc.</w:t>
            </w:r>
          </w:p>
        </w:tc>
        <w:tc>
          <w:tcPr>
            <w:tcW w:w="639" w:type="pct"/>
            <w:hideMark/>
          </w:tcPr>
          <w:p w14:paraId="2EAEC020"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Large Owners</w:t>
            </w:r>
          </w:p>
        </w:tc>
        <w:tc>
          <w:tcPr>
            <w:tcW w:w="873" w:type="pct"/>
            <w:hideMark/>
          </w:tcPr>
          <w:p w14:paraId="010D50CA"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Universities</w:t>
            </w:r>
          </w:p>
        </w:tc>
      </w:tr>
      <w:tr w:rsidR="00F6073A" w:rsidRPr="00F6073A" w14:paraId="041E29A3" w14:textId="77777777" w:rsidTr="00F6073A">
        <w:trPr>
          <w:cnfStyle w:val="000000100000" w:firstRow="0" w:lastRow="0" w:firstColumn="0" w:lastColumn="0" w:oddVBand="0" w:evenVBand="0" w:oddHBand="1" w:evenHBand="0" w:firstRowFirstColumn="0" w:firstRowLastColumn="0" w:lastRowFirstColumn="0" w:lastRowLastColumn="0"/>
          <w:trHeight w:val="300"/>
        </w:trPr>
        <w:tc>
          <w:tcPr>
            <w:tcW w:w="1038" w:type="pct"/>
            <w:hideMark/>
          </w:tcPr>
          <w:p w14:paraId="3020E87D"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Seattle</w:t>
            </w:r>
          </w:p>
        </w:tc>
        <w:tc>
          <w:tcPr>
            <w:tcW w:w="604" w:type="pct"/>
            <w:hideMark/>
          </w:tcPr>
          <w:p w14:paraId="7983C292"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4ECC5FF6" w14:textId="77777777" w:rsidR="00F6073A" w:rsidRPr="00F6073A" w:rsidRDefault="00F6073A" w:rsidP="00F6073A">
            <w:pPr>
              <w:ind w:firstLineChars="100" w:firstLine="220"/>
              <w:rPr>
                <w:rFonts w:ascii="Calibri" w:eastAsia="Times New Roman" w:hAnsi="Calibri" w:cs="Calibri"/>
                <w:color w:val="000000"/>
              </w:rPr>
            </w:pPr>
          </w:p>
        </w:tc>
        <w:tc>
          <w:tcPr>
            <w:tcW w:w="587" w:type="pct"/>
            <w:hideMark/>
          </w:tcPr>
          <w:p w14:paraId="118A4333"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0040C569"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4FE2045E"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873" w:type="pct"/>
            <w:hideMark/>
          </w:tcPr>
          <w:p w14:paraId="2CCE5EF8" w14:textId="77777777" w:rsidR="00F6073A" w:rsidRPr="00F6073A" w:rsidRDefault="00F6073A" w:rsidP="00F6073A">
            <w:pPr>
              <w:ind w:firstLineChars="100" w:firstLine="200"/>
              <w:rPr>
                <w:rFonts w:ascii="Times New Roman" w:eastAsia="Times New Roman" w:hAnsi="Times New Roman" w:cs="Times New Roman"/>
                <w:sz w:val="20"/>
                <w:szCs w:val="20"/>
              </w:rPr>
            </w:pPr>
          </w:p>
        </w:tc>
      </w:tr>
      <w:tr w:rsidR="00F6073A" w:rsidRPr="00F6073A" w14:paraId="1C08348B" w14:textId="77777777" w:rsidTr="00F6073A">
        <w:trPr>
          <w:trHeight w:val="288"/>
        </w:trPr>
        <w:tc>
          <w:tcPr>
            <w:tcW w:w="1038" w:type="pct"/>
            <w:hideMark/>
          </w:tcPr>
          <w:p w14:paraId="14300804"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DC</w:t>
            </w:r>
          </w:p>
        </w:tc>
        <w:tc>
          <w:tcPr>
            <w:tcW w:w="604" w:type="pct"/>
            <w:hideMark/>
          </w:tcPr>
          <w:p w14:paraId="11B044F7"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32528475" w14:textId="77777777" w:rsidR="00F6073A" w:rsidRPr="00F6073A" w:rsidRDefault="00F6073A" w:rsidP="00F6073A">
            <w:pPr>
              <w:ind w:firstLineChars="100" w:firstLine="220"/>
              <w:rPr>
                <w:rFonts w:ascii="Calibri" w:eastAsia="Times New Roman" w:hAnsi="Calibri" w:cs="Calibri"/>
                <w:color w:val="000000"/>
              </w:rPr>
            </w:pPr>
          </w:p>
        </w:tc>
        <w:tc>
          <w:tcPr>
            <w:tcW w:w="587" w:type="pct"/>
            <w:hideMark/>
          </w:tcPr>
          <w:p w14:paraId="22B05658"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61ED3FA4"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65AF4FF7"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873" w:type="pct"/>
            <w:hideMark/>
          </w:tcPr>
          <w:p w14:paraId="119BAB52" w14:textId="77777777" w:rsidR="00F6073A" w:rsidRPr="00F6073A" w:rsidRDefault="00F6073A" w:rsidP="00F6073A">
            <w:pPr>
              <w:ind w:firstLineChars="100" w:firstLine="200"/>
              <w:rPr>
                <w:rFonts w:ascii="Times New Roman" w:eastAsia="Times New Roman" w:hAnsi="Times New Roman" w:cs="Times New Roman"/>
                <w:sz w:val="20"/>
                <w:szCs w:val="20"/>
              </w:rPr>
            </w:pPr>
          </w:p>
        </w:tc>
      </w:tr>
      <w:tr w:rsidR="00F6073A" w:rsidRPr="00F6073A" w14:paraId="703A7D56" w14:textId="77777777" w:rsidTr="00F6073A">
        <w:trPr>
          <w:cnfStyle w:val="000000100000" w:firstRow="0" w:lastRow="0" w:firstColumn="0" w:lastColumn="0" w:oddVBand="0" w:evenVBand="0" w:oddHBand="1" w:evenHBand="0" w:firstRowFirstColumn="0" w:firstRowLastColumn="0" w:lastRowFirstColumn="0" w:lastRowLastColumn="0"/>
          <w:trHeight w:val="288"/>
        </w:trPr>
        <w:tc>
          <w:tcPr>
            <w:tcW w:w="1038" w:type="pct"/>
            <w:hideMark/>
          </w:tcPr>
          <w:p w14:paraId="71998830"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Philadelphia</w:t>
            </w:r>
          </w:p>
        </w:tc>
        <w:tc>
          <w:tcPr>
            <w:tcW w:w="604" w:type="pct"/>
            <w:hideMark/>
          </w:tcPr>
          <w:p w14:paraId="2A0A8423"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707BFF5D"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587" w:type="pct"/>
            <w:hideMark/>
          </w:tcPr>
          <w:p w14:paraId="60008C04" w14:textId="77777777" w:rsidR="00F6073A" w:rsidRPr="00F6073A" w:rsidRDefault="00F6073A" w:rsidP="00F6073A">
            <w:pPr>
              <w:ind w:firstLineChars="100" w:firstLine="220"/>
              <w:rPr>
                <w:rFonts w:ascii="Calibri" w:eastAsia="Times New Roman" w:hAnsi="Calibri" w:cs="Calibri"/>
                <w:color w:val="000000"/>
              </w:rPr>
            </w:pPr>
          </w:p>
        </w:tc>
        <w:tc>
          <w:tcPr>
            <w:tcW w:w="639" w:type="pct"/>
            <w:hideMark/>
          </w:tcPr>
          <w:p w14:paraId="100871C3"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2F01066E"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873" w:type="pct"/>
            <w:hideMark/>
          </w:tcPr>
          <w:p w14:paraId="55607377"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r>
      <w:tr w:rsidR="00F6073A" w:rsidRPr="00F6073A" w14:paraId="46FAE83C" w14:textId="77777777" w:rsidTr="00F6073A">
        <w:trPr>
          <w:trHeight w:val="288"/>
        </w:trPr>
        <w:tc>
          <w:tcPr>
            <w:tcW w:w="1038" w:type="pct"/>
            <w:hideMark/>
          </w:tcPr>
          <w:p w14:paraId="0EE735AB"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Boston</w:t>
            </w:r>
          </w:p>
        </w:tc>
        <w:tc>
          <w:tcPr>
            <w:tcW w:w="604" w:type="pct"/>
            <w:hideMark/>
          </w:tcPr>
          <w:p w14:paraId="5702AA7A"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1C52DD7E" w14:textId="77777777" w:rsidR="00F6073A" w:rsidRPr="00F6073A" w:rsidRDefault="00F6073A" w:rsidP="00F6073A">
            <w:pPr>
              <w:ind w:firstLineChars="100" w:firstLine="220"/>
              <w:rPr>
                <w:rFonts w:ascii="Calibri" w:eastAsia="Times New Roman" w:hAnsi="Calibri" w:cs="Calibri"/>
                <w:color w:val="000000"/>
              </w:rPr>
            </w:pPr>
          </w:p>
        </w:tc>
        <w:tc>
          <w:tcPr>
            <w:tcW w:w="587" w:type="pct"/>
            <w:hideMark/>
          </w:tcPr>
          <w:p w14:paraId="3207F614"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767825CB"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7A4ED65A"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873" w:type="pct"/>
            <w:hideMark/>
          </w:tcPr>
          <w:p w14:paraId="3D823368"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r>
      <w:tr w:rsidR="00F6073A" w:rsidRPr="00F6073A" w14:paraId="0A90AD3E" w14:textId="77777777" w:rsidTr="00F6073A">
        <w:trPr>
          <w:cnfStyle w:val="000000100000" w:firstRow="0" w:lastRow="0" w:firstColumn="0" w:lastColumn="0" w:oddVBand="0" w:evenVBand="0" w:oddHBand="1" w:evenHBand="0" w:firstRowFirstColumn="0" w:firstRowLastColumn="0" w:lastRowFirstColumn="0" w:lastRowLastColumn="0"/>
          <w:trHeight w:val="288"/>
        </w:trPr>
        <w:tc>
          <w:tcPr>
            <w:tcW w:w="1038" w:type="pct"/>
            <w:hideMark/>
          </w:tcPr>
          <w:p w14:paraId="22AC1C44"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Cambridge</w:t>
            </w:r>
          </w:p>
        </w:tc>
        <w:tc>
          <w:tcPr>
            <w:tcW w:w="604" w:type="pct"/>
            <w:hideMark/>
          </w:tcPr>
          <w:p w14:paraId="3FC527B5"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09911DC7" w14:textId="77777777" w:rsidR="00F6073A" w:rsidRPr="00F6073A" w:rsidRDefault="00F6073A" w:rsidP="00F6073A">
            <w:pPr>
              <w:ind w:firstLineChars="100" w:firstLine="220"/>
              <w:rPr>
                <w:rFonts w:ascii="Calibri" w:eastAsia="Times New Roman" w:hAnsi="Calibri" w:cs="Calibri"/>
                <w:color w:val="000000"/>
              </w:rPr>
            </w:pPr>
          </w:p>
        </w:tc>
        <w:tc>
          <w:tcPr>
            <w:tcW w:w="587" w:type="pct"/>
            <w:hideMark/>
          </w:tcPr>
          <w:p w14:paraId="1F3018A9"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132EDC2C"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07C1301F"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873" w:type="pct"/>
            <w:hideMark/>
          </w:tcPr>
          <w:p w14:paraId="195FC837"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r>
      <w:tr w:rsidR="00F6073A" w:rsidRPr="00F6073A" w14:paraId="015BFC49" w14:textId="77777777" w:rsidTr="00F6073A">
        <w:trPr>
          <w:trHeight w:val="288"/>
        </w:trPr>
        <w:tc>
          <w:tcPr>
            <w:tcW w:w="1038" w:type="pct"/>
            <w:hideMark/>
          </w:tcPr>
          <w:p w14:paraId="6B52CD08"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Chicago</w:t>
            </w:r>
          </w:p>
        </w:tc>
        <w:tc>
          <w:tcPr>
            <w:tcW w:w="604" w:type="pct"/>
            <w:hideMark/>
          </w:tcPr>
          <w:p w14:paraId="62909DDF"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6105587D"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587" w:type="pct"/>
            <w:hideMark/>
          </w:tcPr>
          <w:p w14:paraId="2520A381"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39" w:type="pct"/>
            <w:hideMark/>
          </w:tcPr>
          <w:p w14:paraId="702D5B82" w14:textId="77777777" w:rsidR="00F6073A" w:rsidRPr="00F6073A" w:rsidRDefault="00F6073A" w:rsidP="00F6073A">
            <w:pPr>
              <w:ind w:firstLineChars="100" w:firstLine="220"/>
              <w:rPr>
                <w:rFonts w:ascii="Calibri" w:eastAsia="Times New Roman" w:hAnsi="Calibri" w:cs="Calibri"/>
                <w:color w:val="000000"/>
              </w:rPr>
            </w:pPr>
          </w:p>
        </w:tc>
        <w:tc>
          <w:tcPr>
            <w:tcW w:w="639" w:type="pct"/>
            <w:hideMark/>
          </w:tcPr>
          <w:p w14:paraId="171C8DA7"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873" w:type="pct"/>
            <w:hideMark/>
          </w:tcPr>
          <w:p w14:paraId="3D730A39" w14:textId="77777777" w:rsidR="00F6073A" w:rsidRPr="00F6073A" w:rsidRDefault="00F6073A" w:rsidP="00F6073A">
            <w:pPr>
              <w:ind w:firstLineChars="100" w:firstLine="220"/>
              <w:rPr>
                <w:rFonts w:ascii="Calibri" w:eastAsia="Times New Roman" w:hAnsi="Calibri" w:cs="Calibri"/>
                <w:color w:val="000000"/>
              </w:rPr>
            </w:pPr>
          </w:p>
        </w:tc>
      </w:tr>
      <w:tr w:rsidR="00F6073A" w:rsidRPr="00F6073A" w14:paraId="5616BEF2" w14:textId="77777777" w:rsidTr="00F6073A">
        <w:trPr>
          <w:cnfStyle w:val="000000100000" w:firstRow="0" w:lastRow="0" w:firstColumn="0" w:lastColumn="0" w:oddVBand="0" w:evenVBand="0" w:oddHBand="1" w:evenHBand="0" w:firstRowFirstColumn="0" w:firstRowLastColumn="0" w:lastRowFirstColumn="0" w:lastRowLastColumn="0"/>
          <w:trHeight w:val="288"/>
        </w:trPr>
        <w:tc>
          <w:tcPr>
            <w:tcW w:w="1038" w:type="pct"/>
            <w:hideMark/>
          </w:tcPr>
          <w:p w14:paraId="40EA2C40"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Salt Lake City</w:t>
            </w:r>
          </w:p>
        </w:tc>
        <w:tc>
          <w:tcPr>
            <w:tcW w:w="604" w:type="pct"/>
            <w:hideMark/>
          </w:tcPr>
          <w:p w14:paraId="72B061C6"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20" w:type="pct"/>
            <w:hideMark/>
          </w:tcPr>
          <w:p w14:paraId="73A3DC04" w14:textId="77777777" w:rsidR="00F6073A" w:rsidRPr="00F6073A" w:rsidRDefault="00F6073A" w:rsidP="00F6073A">
            <w:pPr>
              <w:ind w:firstLineChars="100" w:firstLine="220"/>
              <w:rPr>
                <w:rFonts w:ascii="Calibri" w:eastAsia="Times New Roman" w:hAnsi="Calibri" w:cs="Calibri"/>
                <w:color w:val="000000"/>
              </w:rPr>
            </w:pPr>
          </w:p>
        </w:tc>
        <w:tc>
          <w:tcPr>
            <w:tcW w:w="587" w:type="pct"/>
            <w:hideMark/>
          </w:tcPr>
          <w:p w14:paraId="703C85A7" w14:textId="77777777" w:rsidR="00F6073A" w:rsidRPr="00F6073A" w:rsidRDefault="00F6073A" w:rsidP="00F6073A">
            <w:pPr>
              <w:ind w:firstLineChars="100" w:firstLine="200"/>
              <w:rPr>
                <w:rFonts w:ascii="Times New Roman" w:eastAsia="Times New Roman" w:hAnsi="Times New Roman" w:cs="Times New Roman"/>
                <w:sz w:val="20"/>
                <w:szCs w:val="20"/>
              </w:rPr>
            </w:pPr>
          </w:p>
        </w:tc>
        <w:tc>
          <w:tcPr>
            <w:tcW w:w="639" w:type="pct"/>
            <w:hideMark/>
          </w:tcPr>
          <w:p w14:paraId="5CE04FC7"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639" w:type="pct"/>
            <w:hideMark/>
          </w:tcPr>
          <w:p w14:paraId="246165BA" w14:textId="77777777" w:rsidR="00F6073A" w:rsidRPr="00F6073A" w:rsidRDefault="00F6073A" w:rsidP="00F6073A">
            <w:pPr>
              <w:ind w:firstLineChars="100" w:firstLine="220"/>
              <w:rPr>
                <w:rFonts w:ascii="Calibri" w:eastAsia="Times New Roman" w:hAnsi="Calibri" w:cs="Calibri"/>
                <w:color w:val="000000"/>
              </w:rPr>
            </w:pPr>
            <w:r w:rsidRPr="00F6073A">
              <w:rPr>
                <w:rFonts w:ascii="Calibri" w:eastAsia="Times New Roman" w:hAnsi="Calibri" w:cs="Calibri"/>
                <w:color w:val="000000"/>
              </w:rPr>
              <w:t>V</w:t>
            </w:r>
          </w:p>
        </w:tc>
        <w:tc>
          <w:tcPr>
            <w:tcW w:w="873" w:type="pct"/>
            <w:hideMark/>
          </w:tcPr>
          <w:p w14:paraId="478861A5" w14:textId="77777777" w:rsidR="00F6073A" w:rsidRPr="00F6073A" w:rsidRDefault="00F6073A" w:rsidP="00F6073A">
            <w:pPr>
              <w:ind w:firstLineChars="100" w:firstLine="220"/>
              <w:rPr>
                <w:rFonts w:ascii="Calibri" w:eastAsia="Times New Roman" w:hAnsi="Calibri" w:cs="Calibri"/>
                <w:color w:val="000000"/>
              </w:rPr>
            </w:pPr>
          </w:p>
        </w:tc>
      </w:tr>
    </w:tbl>
    <w:p w14:paraId="0F585243" w14:textId="77777777" w:rsidR="00F6073A" w:rsidRDefault="00F6073A" w:rsidP="00BB487D">
      <w:pPr>
        <w:pStyle w:val="Caption"/>
      </w:pPr>
    </w:p>
    <w:p w14:paraId="5F44FCB5" w14:textId="6F5818F9" w:rsidR="003200F2" w:rsidRDefault="00BB487D" w:rsidP="00BB487D">
      <w:pPr>
        <w:pStyle w:val="Caption"/>
      </w:pPr>
      <w:bookmarkStart w:id="19" w:name="_Toc532165388"/>
      <w:r>
        <w:t xml:space="preserve">Table </w:t>
      </w:r>
      <w:r w:rsidR="00461074">
        <w:rPr>
          <w:noProof/>
        </w:rPr>
        <w:fldChar w:fldCharType="begin"/>
      </w:r>
      <w:r w:rsidR="00461074">
        <w:rPr>
          <w:noProof/>
        </w:rPr>
        <w:instrText xml:space="preserve"> SEQ Table \* ARABIC </w:instrText>
      </w:r>
      <w:r w:rsidR="00461074">
        <w:rPr>
          <w:noProof/>
        </w:rPr>
        <w:fldChar w:fldCharType="separate"/>
      </w:r>
      <w:r w:rsidR="00121B40">
        <w:rPr>
          <w:noProof/>
        </w:rPr>
        <w:t>3</w:t>
      </w:r>
      <w:r w:rsidR="00461074">
        <w:rPr>
          <w:noProof/>
        </w:rPr>
        <w:fldChar w:fldCharType="end"/>
      </w:r>
      <w:r>
        <w:t>: Main Stakeholders involved in the benchmarking</w:t>
      </w:r>
      <w:r w:rsidR="00F6073A">
        <w:t xml:space="preserve"> policy design and implementation</w:t>
      </w:r>
      <w:r>
        <w:t xml:space="preserve"> process</w:t>
      </w:r>
      <w:bookmarkEnd w:id="19"/>
    </w:p>
    <w:p w14:paraId="0B41A9CA" w14:textId="383966D6" w:rsidR="004B7560" w:rsidRDefault="00AE31A4" w:rsidP="004B7560">
      <w:pPr>
        <w:spacing w:line="360" w:lineRule="auto"/>
      </w:pPr>
      <w:r>
        <w:rPr>
          <w:noProof/>
        </w:rPr>
        <mc:AlternateContent>
          <mc:Choice Requires="wps">
            <w:drawing>
              <wp:anchor distT="45720" distB="45720" distL="114300" distR="114300" simplePos="0" relativeHeight="251700736" behindDoc="0" locked="0" layoutInCell="1" allowOverlap="1" wp14:anchorId="2DD57FA0" wp14:editId="448FD7E9">
                <wp:simplePos x="0" y="0"/>
                <wp:positionH relativeFrom="column">
                  <wp:posOffset>-15240</wp:posOffset>
                </wp:positionH>
                <wp:positionV relativeFrom="paragraph">
                  <wp:posOffset>721995</wp:posOffset>
                </wp:positionV>
                <wp:extent cx="6088380" cy="800100"/>
                <wp:effectExtent l="0" t="0" r="2667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800100"/>
                        </a:xfrm>
                        <a:prstGeom prst="rect">
                          <a:avLst/>
                        </a:prstGeom>
                        <a:solidFill>
                          <a:schemeClr val="bg1">
                            <a:lumMod val="85000"/>
                          </a:schemeClr>
                        </a:solidFill>
                        <a:ln w="9525">
                          <a:solidFill>
                            <a:srgbClr val="000000"/>
                          </a:solidFill>
                          <a:miter lim="800000"/>
                          <a:headEnd/>
                          <a:tailEnd/>
                        </a:ln>
                      </wps:spPr>
                      <wps:txbx>
                        <w:txbxContent>
                          <w:p w14:paraId="7BC9D40D" w14:textId="28F7AF25" w:rsidR="00AE31A4" w:rsidRDefault="00AE31A4" w:rsidP="00AE31A4">
                            <w:pPr>
                              <w:spacing w:line="360" w:lineRule="auto"/>
                            </w:pPr>
                            <w:r w:rsidRPr="00AE31A4">
                              <w:rPr>
                                <w:b/>
                              </w:rPr>
                              <w:t>Findings</w:t>
                            </w:r>
                            <w:r>
                              <w:t xml:space="preserve">: </w:t>
                            </w:r>
                            <w:r>
                              <w:t xml:space="preserve">Cities who passed benchmarking ordinance earlier engage </w:t>
                            </w:r>
                            <w:r>
                              <w:t>sole</w:t>
                            </w:r>
                            <w:r>
                              <w:t xml:space="preserve">ly their utilities before passing an ordinance. Cities who passed ordinances later have engaged a broader audience before enacting </w:t>
                            </w:r>
                            <w:proofErr w:type="gramStart"/>
                            <w:r>
                              <w:t>an ordinances</w:t>
                            </w:r>
                            <w:proofErr w:type="gramEnd"/>
                            <w:r>
                              <w:t>.</w:t>
                            </w:r>
                          </w:p>
                          <w:p w14:paraId="3ABBE5CF" w14:textId="28EB3334" w:rsidR="00AE31A4" w:rsidRDefault="00AE31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57FA0" id="_x0000_t202" coordsize="21600,21600" o:spt="202" path="m,l,21600r21600,l21600,xe">
                <v:stroke joinstyle="miter"/>
                <v:path gradientshapeok="t" o:connecttype="rect"/>
              </v:shapetype>
              <v:shape id="Text Box 2" o:spid="_x0000_s1026" type="#_x0000_t202" style="position:absolute;margin-left:-1.2pt;margin-top:56.85pt;width:479.4pt;height:63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" fillcolor="#d8d8d8 [2732]">
                <v:textbox>
                  <w:txbxContent>
                    <w:p w14:paraId="7BC9D40D" w14:textId="28F7AF25" w:rsidR="00AE31A4" w:rsidRDefault="00AE31A4" w:rsidP="00AE31A4">
                      <w:pPr>
                        <w:spacing w:line="360" w:lineRule="auto"/>
                      </w:pPr>
                      <w:r w:rsidRPr="00AE31A4">
                        <w:rPr>
                          <w:b/>
                        </w:rPr>
                        <w:t>Findings</w:t>
                      </w:r>
                      <w:r>
                        <w:t xml:space="preserve">: </w:t>
                      </w:r>
                      <w:r>
                        <w:t xml:space="preserve">Cities who passed benchmarking ordinance earlier engage </w:t>
                      </w:r>
                      <w:r>
                        <w:t>sole</w:t>
                      </w:r>
                      <w:r>
                        <w:t xml:space="preserve">ly their utilities before passing an ordinance. Cities who passed ordinances later have engaged a broader audience before enacting </w:t>
                      </w:r>
                      <w:proofErr w:type="gramStart"/>
                      <w:r>
                        <w:t>an ordinances</w:t>
                      </w:r>
                      <w:proofErr w:type="gramEnd"/>
                      <w:r>
                        <w:t>.</w:t>
                      </w:r>
                    </w:p>
                    <w:p w14:paraId="3ABBE5CF" w14:textId="28EB3334" w:rsidR="00AE31A4" w:rsidRDefault="00AE31A4"/>
                  </w:txbxContent>
                </v:textbox>
                <w10:wrap type="square"/>
              </v:shape>
            </w:pict>
          </mc:Fallback>
        </mc:AlternateContent>
      </w:r>
      <w:r w:rsidR="004B7560">
        <w:t xml:space="preserve">Energy benchmarking at a city scale created a discussion among actors that did not used to work together. </w:t>
      </w:r>
    </w:p>
    <w:p w14:paraId="415290FE" w14:textId="41FA3E6B" w:rsidR="007017FC" w:rsidRDefault="007017FC" w:rsidP="00BB487D"/>
    <w:p w14:paraId="39EF2630" w14:textId="5995ED44" w:rsidR="0068332F" w:rsidRDefault="0068332F" w:rsidP="0068332F">
      <w:pPr>
        <w:pStyle w:val="Heading3"/>
      </w:pPr>
      <w:r>
        <w:lastRenderedPageBreak/>
        <w:t>Participation level of stakeholders</w:t>
      </w:r>
    </w:p>
    <w:p w14:paraId="5ECFDC68" w14:textId="7B54C57D" w:rsidR="00461B20" w:rsidRDefault="00461B20" w:rsidP="00461B20"/>
    <w:p w14:paraId="7E294B1C" w14:textId="1203B4D0" w:rsidR="00461B20" w:rsidRPr="00461B20" w:rsidRDefault="00461B20" w:rsidP="00461B20">
      <w:r>
        <w:t>The interviews revealed the best practices in term of level of engagement and importance of engagements of various stakeholder illustrated in figure 6.</w:t>
      </w:r>
    </w:p>
    <w:p w14:paraId="2941236A" w14:textId="5CACCBD8" w:rsidR="00BB487D" w:rsidRDefault="00BB487D" w:rsidP="00BB487D">
      <w:r>
        <w:rPr>
          <w:noProof/>
        </w:rPr>
        <w:drawing>
          <wp:inline distT="0" distB="0" distL="0" distR="0" wp14:anchorId="3E06853D" wp14:editId="1B325AD7">
            <wp:extent cx="5935980" cy="36652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3665220"/>
                    </a:xfrm>
                    <a:prstGeom prst="rect">
                      <a:avLst/>
                    </a:prstGeom>
                    <a:noFill/>
                    <a:ln>
                      <a:noFill/>
                    </a:ln>
                  </pic:spPr>
                </pic:pic>
              </a:graphicData>
            </a:graphic>
          </wp:inline>
        </w:drawing>
      </w:r>
    </w:p>
    <w:p w14:paraId="416F3C3F" w14:textId="5A02FD24" w:rsidR="007017FC" w:rsidRPr="00673350" w:rsidRDefault="007017FC" w:rsidP="007017FC">
      <w:pPr>
        <w:keepNext/>
        <w:rPr>
          <w:i/>
          <w:iCs/>
          <w:color w:val="1F497D" w:themeColor="text2"/>
          <w:sz w:val="18"/>
          <w:szCs w:val="18"/>
        </w:rPr>
      </w:pPr>
      <w:bookmarkStart w:id="20" w:name="_Toc531619334"/>
      <w:bookmarkStart w:id="21" w:name="_Toc532165408"/>
      <w:r w:rsidRPr="00673350">
        <w:rPr>
          <w:i/>
          <w:iCs/>
          <w:color w:val="1F497D" w:themeColor="text2"/>
          <w:sz w:val="18"/>
          <w:szCs w:val="18"/>
        </w:rPr>
        <w:t xml:space="preserve">Figure </w:t>
      </w:r>
      <w:r w:rsidRPr="00673350">
        <w:rPr>
          <w:i/>
          <w:iCs/>
          <w:color w:val="1F497D" w:themeColor="text2"/>
          <w:sz w:val="18"/>
          <w:szCs w:val="18"/>
        </w:rPr>
        <w:fldChar w:fldCharType="begin"/>
      </w:r>
      <w:r w:rsidRPr="00673350">
        <w:rPr>
          <w:i/>
          <w:iCs/>
          <w:color w:val="1F497D" w:themeColor="text2"/>
          <w:sz w:val="18"/>
          <w:szCs w:val="18"/>
        </w:rPr>
        <w:instrText xml:space="preserve"> SEQ Figure \* ARABIC </w:instrText>
      </w:r>
      <w:r w:rsidRPr="00673350">
        <w:rPr>
          <w:i/>
          <w:iCs/>
          <w:color w:val="1F497D" w:themeColor="text2"/>
          <w:sz w:val="18"/>
          <w:szCs w:val="18"/>
        </w:rPr>
        <w:fldChar w:fldCharType="separate"/>
      </w:r>
      <w:r w:rsidR="00121B40">
        <w:rPr>
          <w:i/>
          <w:iCs/>
          <w:noProof/>
          <w:color w:val="1F497D" w:themeColor="text2"/>
          <w:sz w:val="18"/>
          <w:szCs w:val="18"/>
        </w:rPr>
        <w:t>6</w:t>
      </w:r>
      <w:r w:rsidRPr="00673350">
        <w:rPr>
          <w:i/>
          <w:iCs/>
          <w:color w:val="1F497D" w:themeColor="text2"/>
          <w:sz w:val="18"/>
          <w:szCs w:val="18"/>
        </w:rPr>
        <w:fldChar w:fldCharType="end"/>
      </w:r>
      <w:r w:rsidRPr="00673350">
        <w:rPr>
          <w:i/>
          <w:iCs/>
          <w:color w:val="1F497D" w:themeColor="text2"/>
          <w:sz w:val="18"/>
          <w:szCs w:val="18"/>
        </w:rPr>
        <w:t xml:space="preserve"> : Importance of involving various stakeholders in the design of a benchmarking and transparency ordinance</w:t>
      </w:r>
      <w:bookmarkEnd w:id="21"/>
    </w:p>
    <w:p w14:paraId="7FE3A290" w14:textId="77777777" w:rsidR="0068332F" w:rsidRDefault="0068332F" w:rsidP="0068332F">
      <w:r>
        <w:t xml:space="preserve">The interviews revealed that engaging with local utilities early on was essential to ensuring success and high compliance rate. </w:t>
      </w:r>
    </w:p>
    <w:p w14:paraId="5AE05AF5" w14:textId="77777777" w:rsidR="0068332F" w:rsidRDefault="0068332F" w:rsidP="0068332F">
      <w:r>
        <w:t>Secondly, building owners should be brought in the discussion early in the design of the benchmarking ordinance, so they can provide valuable feedback on tailoring the requirement to the local market and to make sure they understand the goals of the ordinance and do not perceive it as “another duty“ imposed by the local government.</w:t>
      </w:r>
    </w:p>
    <w:p w14:paraId="6C0E5187" w14:textId="53E2EBD4" w:rsidR="0068332F" w:rsidRDefault="00673350" w:rsidP="0068332F">
      <w:r>
        <w:rPr>
          <w:noProof/>
        </w:rPr>
        <mc:AlternateContent>
          <mc:Choice Requires="wps">
            <w:drawing>
              <wp:anchor distT="45720" distB="45720" distL="114300" distR="114300" simplePos="0" relativeHeight="251694592" behindDoc="0" locked="0" layoutInCell="1" allowOverlap="1" wp14:anchorId="7A7F9384" wp14:editId="76EE58CA">
                <wp:simplePos x="0" y="0"/>
                <wp:positionH relativeFrom="column">
                  <wp:posOffset>-38100</wp:posOffset>
                </wp:positionH>
                <wp:positionV relativeFrom="paragraph">
                  <wp:posOffset>1090295</wp:posOffset>
                </wp:positionV>
                <wp:extent cx="586740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chemeClr val="bg2"/>
                        </a:solidFill>
                        <a:ln w="9525">
                          <a:solidFill>
                            <a:srgbClr val="000000"/>
                          </a:solidFill>
                          <a:miter lim="800000"/>
                          <a:headEnd/>
                          <a:tailEnd/>
                        </a:ln>
                      </wps:spPr>
                      <wps:txbx>
                        <w:txbxContent>
                          <w:p w14:paraId="21C25359" w14:textId="77777777" w:rsidR="00121B40" w:rsidRDefault="00121B40">
                            <w:r w:rsidRPr="00673350">
                              <w:rPr>
                                <w:b/>
                              </w:rPr>
                              <w:t>Findings</w:t>
                            </w:r>
                            <w:r>
                              <w:t xml:space="preserve">: </w:t>
                            </w:r>
                          </w:p>
                          <w:p w14:paraId="43175460" w14:textId="51AE2B5C" w:rsidR="00121B40" w:rsidRDefault="00121B40" w:rsidP="00673350">
                            <w:pPr>
                              <w:pStyle w:val="ListParagraph"/>
                              <w:numPr>
                                <w:ilvl w:val="0"/>
                                <w:numId w:val="14"/>
                              </w:numPr>
                            </w:pPr>
                            <w:r>
                              <w:t>Engaging with the Utility prior setting up compliance deadlines is primordial to make sure the data access is enable to make to process straightforward for building owners.</w:t>
                            </w:r>
                          </w:p>
                          <w:p w14:paraId="060FB29A" w14:textId="2C0F6475" w:rsidR="00121B40" w:rsidRDefault="00121B40" w:rsidP="00673350">
                            <w:pPr>
                              <w:pStyle w:val="ListParagraph"/>
                              <w:numPr>
                                <w:ilvl w:val="0"/>
                                <w:numId w:val="14"/>
                              </w:numPr>
                            </w:pPr>
                            <w:r>
                              <w:t xml:space="preserve">Involving Building Owners representatives during the design of the ordinance create a better </w:t>
                            </w:r>
                            <w:proofErr w:type="spellStart"/>
                            <w:r>
                              <w:t>dymamic</w:t>
                            </w:r>
                            <w:proofErr w:type="spellEnd"/>
                            <w:r>
                              <w:t xml:space="preserve"> and stronger supports for the enactment of the ordinance.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F9384" id="_x0000_s1027" type="#_x0000_t202" style="position:absolute;margin-left:-3pt;margin-top:85.85pt;width:462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" fillcolor="#eeece1 [3214]">
                <v:textbox style="mso-fit-shape-to-text:t">
                  <w:txbxContent>
                    <w:p w14:paraId="21C25359" w14:textId="77777777" w:rsidR="00121B40" w:rsidRDefault="00121B40">
                      <w:r w:rsidRPr="00673350">
                        <w:rPr>
                          <w:b/>
                        </w:rPr>
                        <w:t>Findings</w:t>
                      </w:r>
                      <w:r>
                        <w:t xml:space="preserve">: </w:t>
                      </w:r>
                    </w:p>
                    <w:p w14:paraId="43175460" w14:textId="51AE2B5C" w:rsidR="00121B40" w:rsidRDefault="00121B40" w:rsidP="00673350">
                      <w:pPr>
                        <w:pStyle w:val="ListParagraph"/>
                        <w:numPr>
                          <w:ilvl w:val="0"/>
                          <w:numId w:val="14"/>
                        </w:numPr>
                      </w:pPr>
                      <w:r>
                        <w:t>Engaging with the Utility prior setting up compliance deadlines is primordial to make sure the data access is enable to make to process straightforward for building owners.</w:t>
                      </w:r>
                    </w:p>
                    <w:p w14:paraId="060FB29A" w14:textId="2C0F6475" w:rsidR="00121B40" w:rsidRDefault="00121B40" w:rsidP="00673350">
                      <w:pPr>
                        <w:pStyle w:val="ListParagraph"/>
                        <w:numPr>
                          <w:ilvl w:val="0"/>
                          <w:numId w:val="14"/>
                        </w:numPr>
                      </w:pPr>
                      <w:r>
                        <w:t xml:space="preserve">Involving Building Owners representatives during the design of the ordinance create a better </w:t>
                      </w:r>
                      <w:proofErr w:type="spellStart"/>
                      <w:r>
                        <w:t>dymamic</w:t>
                      </w:r>
                      <w:proofErr w:type="spellEnd"/>
                      <w:r>
                        <w:t xml:space="preserve"> and stronger supports for the enactment of the ordinance.</w:t>
                      </w:r>
                    </w:p>
                  </w:txbxContent>
                </v:textbox>
                <w10:wrap type="square"/>
              </v:shape>
            </w:pict>
          </mc:Fallback>
        </mc:AlternateContent>
      </w:r>
      <w:r w:rsidR="0068332F">
        <w:t xml:space="preserve">If the region benefits from a strong presence of a local USGBC chapter, a Regional Energy Efficiency Organization or another relevant </w:t>
      </w:r>
      <w:proofErr w:type="spellStart"/>
      <w:proofErr w:type="gramStart"/>
      <w:r w:rsidR="0068332F">
        <w:t>non profit</w:t>
      </w:r>
      <w:proofErr w:type="spellEnd"/>
      <w:proofErr w:type="gramEnd"/>
      <w:r w:rsidR="0068332F">
        <w:t xml:space="preserve">, they should be involved early on in the process. They can provide critical support with their knowledge of the market and their existing network will help reach out </w:t>
      </w:r>
      <w:proofErr w:type="gramStart"/>
      <w:r w:rsidR="0068332F">
        <w:t>to  a</w:t>
      </w:r>
      <w:proofErr w:type="gramEnd"/>
      <w:r w:rsidR="0068332F">
        <w:t xml:space="preserve"> wide audience for outreach and trainings.</w:t>
      </w:r>
    </w:p>
    <w:p w14:paraId="72A75EC2" w14:textId="7477F44A" w:rsidR="007017FC" w:rsidRDefault="00673350" w:rsidP="00673350">
      <w:pPr>
        <w:pStyle w:val="Heading3"/>
      </w:pPr>
      <w:r>
        <w:lastRenderedPageBreak/>
        <w:t xml:space="preserve"> Timelines of benchmarking and transparency implementation</w:t>
      </w:r>
    </w:p>
    <w:p w14:paraId="38E3C13B" w14:textId="77777777" w:rsidR="00673350" w:rsidRPr="00673350" w:rsidRDefault="00673350" w:rsidP="00673350"/>
    <w:p w14:paraId="28A52708" w14:textId="6BAB351B" w:rsidR="003200F2" w:rsidRDefault="00161838" w:rsidP="002300C8">
      <w:pPr>
        <w:pStyle w:val="Caption"/>
      </w:pPr>
      <w:bookmarkStart w:id="22" w:name="_Toc532165409"/>
      <w:bookmarkEnd w:id="20"/>
      <w:r>
        <w:rPr>
          <w:noProof/>
        </w:rPr>
        <w:drawing>
          <wp:inline distT="0" distB="0" distL="0" distR="0" wp14:anchorId="1F8A0714" wp14:editId="7A61D733">
            <wp:extent cx="5577840" cy="4719711"/>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549" cy="4722849"/>
                    </a:xfrm>
                    <a:prstGeom prst="rect">
                      <a:avLst/>
                    </a:prstGeom>
                    <a:noFill/>
                    <a:ln>
                      <a:noFill/>
                    </a:ln>
                  </pic:spPr>
                </pic:pic>
              </a:graphicData>
            </a:graphic>
          </wp:inline>
        </w:drawing>
      </w:r>
      <w:r w:rsidR="000D76C9">
        <w:t>Table</w:t>
      </w:r>
      <w:r w:rsidR="00BB487D">
        <w:t xml:space="preserve"> </w:t>
      </w:r>
      <w:r w:rsidR="002300C8">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7</w:t>
      </w:r>
      <w:r w:rsidR="00461074">
        <w:rPr>
          <w:noProof/>
        </w:rPr>
        <w:fldChar w:fldCharType="end"/>
      </w:r>
      <w:r w:rsidR="002300C8">
        <w:t xml:space="preserve">: </w:t>
      </w:r>
      <w:r w:rsidR="00BB487D">
        <w:t>timeline of benchmarking process</w:t>
      </w:r>
      <w:bookmarkEnd w:id="22"/>
    </w:p>
    <w:p w14:paraId="18C15490" w14:textId="644F9B5B" w:rsidR="00317A49" w:rsidRDefault="00673350" w:rsidP="00673350">
      <w:bookmarkStart w:id="23" w:name="_Toc531619331"/>
      <w:r>
        <w:t xml:space="preserve">This overview of the implementation timeline reveals that pioneering cities as a longer lag between enacting the ordinance and the first deadline. Most cities voting ordinance later on had a shorter timeframe between the enactment and the first reporting deadline. </w:t>
      </w:r>
    </w:p>
    <w:p w14:paraId="3CE38A87" w14:textId="0B500AF7" w:rsidR="00065DA2" w:rsidRDefault="00065DA2" w:rsidP="00673350">
      <w:pPr>
        <w:pStyle w:val="Heading4"/>
      </w:pPr>
      <w:r>
        <w:t>First Generation of benchmarking Ordinances:</w:t>
      </w:r>
      <w:bookmarkEnd w:id="23"/>
    </w:p>
    <w:p w14:paraId="39595BB0" w14:textId="4355FA8D" w:rsidR="00065DA2" w:rsidRDefault="00065DA2" w:rsidP="007B6EE5">
      <w:r>
        <w:t xml:space="preserve">In </w:t>
      </w:r>
      <w:r w:rsidRPr="00161CAB">
        <w:rPr>
          <w:b/>
        </w:rPr>
        <w:t>Washington, DC</w:t>
      </w:r>
      <w:r>
        <w:t xml:space="preserve"> the government passed the ordinance in </w:t>
      </w:r>
      <w:r w:rsidRPr="00065DA2">
        <w:t>2008</w:t>
      </w:r>
      <w:r>
        <w:t xml:space="preserve"> then realized that data access was going to be problematic as property owner</w:t>
      </w:r>
      <w:r w:rsidR="00673350">
        <w:t>s</w:t>
      </w:r>
      <w:r>
        <w:t xml:space="preserve"> were required to access data directly from the tenants, including for Multi-family buildings</w:t>
      </w:r>
      <w:r w:rsidR="00E809D9">
        <w:fldChar w:fldCharType="begin"/>
      </w:r>
      <w:r w:rsidR="00E809D9">
        <w:instrText xml:space="preserve"> ADDIN ZOTERO_ITEM CSL_CITATION {"citationID":"bi1mifV4","properties":{"formattedCitation":"(Duer Balkind 2015)","plainCitation":"(Duer Balkind 2015)","noteIndex":0},"citationItems":[{"id":1182,"uris":["http://zotero.org/users/1410454/items/E2JZGMGF"],"uri":["http://zotero.org/users/1410454/items/E2JZGMGF"],"itemData":{"id":1182,"type":"interview","title":"Interview about Stakeholder Engagement and Data access","author":[{"family":"Duer Balkind","given":"Marshall"}],"issued":{"date-parts":[["2015"]]}}}],"schema":"https://github.com/citation-style-language/schema/raw/master/csl-citation.json"} </w:instrText>
      </w:r>
      <w:r w:rsidR="00E809D9">
        <w:fldChar w:fldCharType="separate"/>
      </w:r>
      <w:r w:rsidR="00E809D9" w:rsidRPr="00E809D9">
        <w:rPr>
          <w:rFonts w:ascii="Calibri" w:hAnsi="Calibri" w:cs="Calibri"/>
        </w:rPr>
        <w:t>(Duer Balkind 2015)</w:t>
      </w:r>
      <w:r w:rsidR="00E809D9">
        <w:fldChar w:fldCharType="end"/>
      </w:r>
      <w:r w:rsidRPr="000D3D2A">
        <w:t xml:space="preserve">. This resulted in low compliance from the multi-tenant properties and the District realized there </w:t>
      </w:r>
      <w:r>
        <w:t xml:space="preserve">was a need </w:t>
      </w:r>
      <w:r w:rsidR="00673350">
        <w:t>f</w:t>
      </w:r>
      <w:r>
        <w:t>or engaging both </w:t>
      </w:r>
      <w:r w:rsidR="00673350">
        <w:t>e</w:t>
      </w:r>
      <w:r w:rsidRPr="000D3D2A">
        <w:t>nergy utilities, to resolve the implementation challenges and simplify the process. The city engaged both the electric and gas utility companies, and after conversations with them, decided to amend the Clean Affordable Energy Act to implement data access as requirement from th</w:t>
      </w:r>
      <w:r>
        <w:t>e utilities in order to improve</w:t>
      </w:r>
      <w:r w:rsidR="00673350">
        <w:t xml:space="preserve"> the process</w:t>
      </w:r>
      <w:r>
        <w:t>.</w:t>
      </w:r>
    </w:p>
    <w:p w14:paraId="341F3D3D" w14:textId="74001BAE" w:rsidR="00065DA2" w:rsidRDefault="00065DA2" w:rsidP="007B6EE5">
      <w:r>
        <w:lastRenderedPageBreak/>
        <w:t xml:space="preserve">In </w:t>
      </w:r>
      <w:proofErr w:type="spellStart"/>
      <w:r w:rsidRPr="00F00F75">
        <w:rPr>
          <w:b/>
        </w:rPr>
        <w:t>Austin</w:t>
      </w:r>
      <w:proofErr w:type="gramStart"/>
      <w:r w:rsidRPr="00F00F75">
        <w:rPr>
          <w:b/>
        </w:rPr>
        <w:t>,TX</w:t>
      </w:r>
      <w:proofErr w:type="spellEnd"/>
      <w:proofErr w:type="gramEnd"/>
      <w:r>
        <w:t xml:space="preserve">  the benchmarking ordinance was passed  as a direct follow </w:t>
      </w:r>
      <w:r w:rsidR="00673350">
        <w:t>up of the climate action plan. T</w:t>
      </w:r>
      <w:r>
        <w:t xml:space="preserve">he local municipal utility is leading the benchmarking </w:t>
      </w:r>
      <w:proofErr w:type="gramStart"/>
      <w:r>
        <w:t>energy data collection effort</w:t>
      </w:r>
      <w:proofErr w:type="gramEnd"/>
      <w:r>
        <w:t xml:space="preserve">. The ordinance </w:t>
      </w:r>
      <w:proofErr w:type="gramStart"/>
      <w:r>
        <w:t>was adopted for commercial buildings in 2008 and amended several time after to expend its scope to residential and multi-family</w:t>
      </w:r>
      <w:proofErr w:type="gramEnd"/>
      <w:r>
        <w:t>.</w:t>
      </w:r>
    </w:p>
    <w:p w14:paraId="1DA39115" w14:textId="416B1FFB" w:rsidR="00065DA2" w:rsidRDefault="00065DA2" w:rsidP="007B6EE5">
      <w:r>
        <w:t xml:space="preserve">In </w:t>
      </w:r>
      <w:r w:rsidRPr="00161CAB">
        <w:rPr>
          <w:b/>
        </w:rPr>
        <w:t>New York, NY</w:t>
      </w:r>
      <w:r>
        <w:t xml:space="preserve"> the Local Law 84, part of the Greener, Greater Building Plan </w:t>
      </w:r>
      <w:proofErr w:type="gramStart"/>
      <w:r>
        <w:t>was passed</w:t>
      </w:r>
      <w:proofErr w:type="gramEnd"/>
      <w:r>
        <w:t xml:space="preserve"> in 2009 and was one of the recommendation of the Green Codes Task Force. Many stakeholders were involved while not having a</w:t>
      </w:r>
      <w:r w:rsidR="00673350">
        <w:t>n</w:t>
      </w:r>
      <w:r>
        <w:t xml:space="preserve"> effort specifically around energy benchmarking for buildings before passing the ordinance. The Real Estate Association was involved in the Greener Greater Building plan since 2006 and so were many commercial building owners ( 2014, Donna Hope).</w:t>
      </w:r>
      <w:r w:rsidRPr="007E5D20">
        <w:t xml:space="preserve"> </w:t>
      </w:r>
      <w:r>
        <w:t xml:space="preserve">The first compliance deadline was in 2010 for public buildings and 2011 for private buildings. PLANYC 2011 announce the creation of a resource for building owners to provide them with tools to benchmark and implement energy efficiency measure. This resource will </w:t>
      </w:r>
      <w:proofErr w:type="gramStart"/>
      <w:r>
        <w:t>become  Building</w:t>
      </w:r>
      <w:proofErr w:type="gramEnd"/>
      <w:r>
        <w:t xml:space="preserve"> Energy Exchange (BEEX) officially launch in 2015.</w:t>
      </w:r>
    </w:p>
    <w:p w14:paraId="079E46A5" w14:textId="73C87474" w:rsidR="00065DA2" w:rsidRDefault="00065DA2" w:rsidP="007B6EE5">
      <w:r>
        <w:t xml:space="preserve">In </w:t>
      </w:r>
      <w:r w:rsidRPr="00161CAB">
        <w:rPr>
          <w:b/>
        </w:rPr>
        <w:t>Seattle, WA</w:t>
      </w:r>
      <w:r>
        <w:t xml:space="preserve"> the benchmarking ordinance was one of the conclusion of the Green task force, knowing that the State mandated utilities to maintain a record of energy consumption data of all </w:t>
      </w:r>
      <w:proofErr w:type="spellStart"/>
      <w:r>
        <w:t>non residentia</w:t>
      </w:r>
      <w:r w:rsidR="00E809D9">
        <w:t>l</w:t>
      </w:r>
      <w:proofErr w:type="spellEnd"/>
      <w:r w:rsidR="00E809D9">
        <w:t xml:space="preserve"> and qualifying public agency </w:t>
      </w:r>
      <w:r w:rsidR="00E809D9">
        <w:fldChar w:fldCharType="begin"/>
      </w:r>
      <w:r w:rsidR="00E809D9">
        <w:instrText xml:space="preserve"> ADDIN ZOTERO_ITEM CSL_CITATION {"citationID":"2YZxjZbz","properties":{"formattedCitation":"(Antonoff and BALLINGER 2014)","plainCitation":"(Antonoff and BALLINGER 2014)","noteIndex":0},"citationItems":[{"id":1466,"uris":["http://zotero.org/users/1410454/items/99V56CEX"],"uri":["http://zotero.org/users/1410454/items/99V56CEX"],"itemData":{"id":1466,"type":"interview","title":"Seattle benchmarking process","URL":"https://cmu.app.box.com/file/36142095290","author":[{"family":"Antonoff","given":"Jayson"},{"family":"BALLINGER","given":"Nicole"}],"issued":{"date-parts":[["2014"]]}}}],"schema":"https://github.com/citation-style-language/schema/raw/master/csl-citation.json"} </w:instrText>
      </w:r>
      <w:r w:rsidR="00E809D9">
        <w:fldChar w:fldCharType="separate"/>
      </w:r>
      <w:r w:rsidR="00E809D9" w:rsidRPr="00E809D9">
        <w:rPr>
          <w:rFonts w:ascii="Calibri" w:hAnsi="Calibri" w:cs="Calibri"/>
        </w:rPr>
        <w:t>(Antonoff and BALLINGER 2014)</w:t>
      </w:r>
      <w:r w:rsidR="00E809D9">
        <w:fldChar w:fldCharType="end"/>
      </w:r>
      <w:r w:rsidR="00E809D9">
        <w:t>.</w:t>
      </w:r>
      <w:r>
        <w:t xml:space="preserve"> The utilities were task to develop </w:t>
      </w:r>
      <w:proofErr w:type="gramStart"/>
      <w:r>
        <w:t>the  IT</w:t>
      </w:r>
      <w:proofErr w:type="gramEnd"/>
      <w:r>
        <w:t xml:space="preserve"> solutions on their own. While there were initial talk to have one common portal, they all ended up developing their unique solutions. In light of the situations, the city engaged with the utilities in </w:t>
      </w:r>
      <w:proofErr w:type="gramStart"/>
      <w:r>
        <w:t>many discussion</w:t>
      </w:r>
      <w:proofErr w:type="gramEnd"/>
      <w:r>
        <w:t xml:space="preserve"> to amend the ordinance to require whole building data access within a realistic timeline for the utilities to provide the necessary solution.</w:t>
      </w:r>
      <w:r w:rsidRPr="00161CAB">
        <w:t xml:space="preserve"> </w:t>
      </w:r>
      <w:r w:rsidRPr="000D3D2A">
        <w:t xml:space="preserve">The utilities offer aggregated “whole-building” energy data for owners needing to comply with Seattle’s ordinance and/or for their own energy management purposes. The meter consumption data </w:t>
      </w:r>
      <w:proofErr w:type="gramStart"/>
      <w:r w:rsidRPr="000D3D2A">
        <w:t>is directly uploaded</w:t>
      </w:r>
      <w:proofErr w:type="gramEnd"/>
      <w:r w:rsidRPr="000D3D2A">
        <w:t xml:space="preserve"> on a monthly basis to the owner’s Portfolio Account via the “data exchange” web service. Seattle helped the utilities to determine the most feasible, cost effective ways to provide the data and promote the services to their customers. Regional utilities that city of Seattle </w:t>
      </w:r>
      <w:proofErr w:type="gramStart"/>
      <w:r w:rsidRPr="000D3D2A">
        <w:t>partnered</w:t>
      </w:r>
      <w:proofErr w:type="gramEnd"/>
      <w:r w:rsidRPr="000D3D2A">
        <w:t xml:space="preserve"> with were: Seattle city lights, Puget Sound Energy and Seattle steam.  The utilities also agreed to help inform their customers of the Seattle requirement by providing website links and phone referrals to Seattle</w:t>
      </w:r>
      <w:r w:rsidR="00E809D9">
        <w:t>’s Energy Benchmarking Help Desk</w:t>
      </w:r>
      <w:r w:rsidR="00E809D9">
        <w:fldChar w:fldCharType="begin"/>
      </w:r>
      <w:r w:rsidR="00E809D9">
        <w:instrText xml:space="preserve"> ADDIN ZOTERO_ITEM CSL_CITATION {"citationID":"EFrnzHKN","properties":{"formattedCitation":"(Ballinger 2013)","plainCitation":"(Ballinger 2013)","noteIndex":0},"citationItems":[{"id":1168,"uris":["http://zotero.org/users/1410454/items/TFIDGVWD"],"uri":["http://zotero.org/users/1410454/items/TFIDGVWD"],"itemData":{"id":1168,"type":"article-journal","title":"Seattle’s Energy Benchmarking and Reporting Program","container-title":"Presentation]. Seattle : Seattle.gov","source":"FreeCite","journalAbbreviation":"Presentation]. Seattle : Seattle.gov","author":[{"family":"Ballinger","given":"Nicole"}],"issued":{"date-parts":[["2013"]]}}}],"schema":"https://github.com/citation-style-language/schema/raw/master/csl-citation.json"} </w:instrText>
      </w:r>
      <w:r w:rsidR="00E809D9">
        <w:fldChar w:fldCharType="separate"/>
      </w:r>
      <w:r w:rsidR="00E809D9" w:rsidRPr="00E809D9">
        <w:rPr>
          <w:rFonts w:ascii="Calibri" w:hAnsi="Calibri" w:cs="Calibri"/>
        </w:rPr>
        <w:t>(Ballinger 2013)</w:t>
      </w:r>
      <w:r w:rsidR="00E809D9">
        <w:fldChar w:fldCharType="end"/>
      </w:r>
      <w:r w:rsidRPr="000D3D2A">
        <w:t>.  </w:t>
      </w:r>
    </w:p>
    <w:p w14:paraId="12CB5814" w14:textId="77777777" w:rsidR="00065DA2" w:rsidRDefault="00065DA2" w:rsidP="00673350">
      <w:pPr>
        <w:pStyle w:val="Heading4"/>
      </w:pPr>
      <w:bookmarkStart w:id="24" w:name="_Toc531619332"/>
      <w:r>
        <w:t>Second Generation of benchmarking Ordinance</w:t>
      </w:r>
      <w:bookmarkEnd w:id="24"/>
    </w:p>
    <w:p w14:paraId="4D5C3308" w14:textId="03E22462" w:rsidR="00065DA2" w:rsidRDefault="00065DA2" w:rsidP="007B6EE5">
      <w:proofErr w:type="gramStart"/>
      <w:r>
        <w:t>This Cities</w:t>
      </w:r>
      <w:proofErr w:type="gramEnd"/>
      <w:r>
        <w:t xml:space="preserve"> pursued their stakeholder engagement effort BEFORE passing the ordinances which resulted in less amendment and quicker timelines of implementation. Can you show it?</w:t>
      </w:r>
    </w:p>
    <w:p w14:paraId="37311F44" w14:textId="11F4BF17" w:rsidR="00BC7944" w:rsidRPr="00925D63" w:rsidRDefault="00BC7944" w:rsidP="007B6EE5">
      <w:r>
        <w:t xml:space="preserve">In </w:t>
      </w:r>
      <w:r w:rsidRPr="000A4861">
        <w:rPr>
          <w:b/>
        </w:rPr>
        <w:t>Philadelphia,</w:t>
      </w:r>
      <w:r>
        <w:rPr>
          <w:b/>
        </w:rPr>
        <w:t xml:space="preserve"> </w:t>
      </w:r>
      <w:r w:rsidRPr="000A4861">
        <w:rPr>
          <w:b/>
        </w:rPr>
        <w:t>PA</w:t>
      </w:r>
      <w:r>
        <w:t xml:space="preserve"> a</w:t>
      </w:r>
      <w:r w:rsidRPr="00925D63">
        <w:t xml:space="preserve">fter five cities established a benchmarking ordinance, </w:t>
      </w:r>
      <w:r>
        <w:t xml:space="preserve">the need to engage a broader audience became more apparent. </w:t>
      </w:r>
      <w:r w:rsidRPr="00925D63">
        <w:t>Philadelphia was able to use the lessons learned from those cities to identify data access as a key factor for success. To address data access issues,</w:t>
      </w:r>
      <w:r>
        <w:t xml:space="preserve"> </w:t>
      </w:r>
      <w:r w:rsidRPr="00925D63">
        <w:t xml:space="preserve">Philadelphia asked the CBEI (formerly </w:t>
      </w:r>
      <w:proofErr w:type="spellStart"/>
      <w:r w:rsidRPr="00925D63">
        <w:t>EEBhub</w:t>
      </w:r>
      <w:proofErr w:type="spellEnd"/>
      <w:r w:rsidRPr="00925D63">
        <w:t>) to act as a convener and a technical advisor for the utilities to bring them on board and successfully implement data access before the first reporting deadline</w:t>
      </w:r>
      <w:r>
        <w:t xml:space="preserve">. </w:t>
      </w:r>
      <w:r w:rsidRPr="00925D63">
        <w:t>The city chose to mandate data access in the ordinance but working out the details on the side</w:t>
      </w:r>
      <w:r w:rsidR="00E809D9">
        <w:fldChar w:fldCharType="begin"/>
      </w:r>
      <w:r w:rsidR="00E809D9">
        <w:instrText xml:space="preserve"> ADDIN ZOTERO_ITEM CSL_CITATION {"citationID":"lQkeNVc5","properties":{"formattedCitation":"(Monisha Shah 2015)","plainCitation":"(Monisha Shah 2015)","noteIndex":0},"citationItems":[{"id":1178,"uris":["http://zotero.org/users/1410454/items/SCPBET3U"],"uri":["http://zotero.org/users/1410454/items/SCPBET3U"],"itemData":{"id":1178,"type":"speech","title":"Energy Data Accelerator Partners Workshop","author":[{"literal":"Monisha Shah"}],"issued":{"date-parts":[["2015",5]]}}}],"schema":"https://github.com/citation-style-language/schema/raw/master/csl-citation.json"} </w:instrText>
      </w:r>
      <w:r w:rsidR="00E809D9">
        <w:fldChar w:fldCharType="separate"/>
      </w:r>
      <w:r w:rsidR="00E809D9" w:rsidRPr="00E809D9">
        <w:rPr>
          <w:rFonts w:ascii="Calibri" w:hAnsi="Calibri" w:cs="Calibri"/>
        </w:rPr>
        <w:t>(Monisha Shah 2015)</w:t>
      </w:r>
      <w:r w:rsidR="00E809D9">
        <w:fldChar w:fldCharType="end"/>
      </w:r>
      <w:r w:rsidRPr="00925D63">
        <w:t>.</w:t>
      </w:r>
    </w:p>
    <w:p w14:paraId="72894A18" w14:textId="77777777" w:rsidR="00BC7944" w:rsidRDefault="00BC7944" w:rsidP="007B6EE5">
      <w:r w:rsidRPr="00925D63">
        <w:lastRenderedPageBreak/>
        <w:t xml:space="preserve">Philadelphia city government chose to engage </w:t>
      </w:r>
      <w:proofErr w:type="gramStart"/>
      <w:r w:rsidRPr="00925D63">
        <w:t>high level</w:t>
      </w:r>
      <w:proofErr w:type="gramEnd"/>
      <w:r w:rsidRPr="00925D63">
        <w:t xml:space="preserve"> representatives from key stakeholder groups to participate in a series of working group and convening s</w:t>
      </w:r>
      <w:r>
        <w:t>essions.</w:t>
      </w:r>
      <w:r w:rsidRPr="00925D63">
        <w:t xml:space="preserve"> These convening sessions facilitated a fast decision making and buy-in process.</w:t>
      </w:r>
    </w:p>
    <w:p w14:paraId="0186F8D3" w14:textId="324E13BB" w:rsidR="00BC7944" w:rsidRPr="000D3D2A" w:rsidRDefault="00BC7944" w:rsidP="007B6EE5">
      <w:r w:rsidRPr="000A4861">
        <w:rPr>
          <w:b/>
        </w:rPr>
        <w:t>Boston,</w:t>
      </w:r>
      <w:r>
        <w:rPr>
          <w:b/>
        </w:rPr>
        <w:t xml:space="preserve"> </w:t>
      </w:r>
      <w:r w:rsidRPr="000A4861">
        <w:rPr>
          <w:b/>
        </w:rPr>
        <w:t>MA</w:t>
      </w:r>
      <w:r w:rsidRPr="000D3D2A">
        <w:t xml:space="preserve"> followed a unique implementation model by tackling the issue in reverse order</w:t>
      </w:r>
      <w:r>
        <w:t xml:space="preserve"> compared to the first cities enacting benchmarking and transparency ordinances</w:t>
      </w:r>
      <w:r w:rsidRPr="000D3D2A">
        <w:t xml:space="preserve">; they worked with utilities to put the concerns of data access to rest before enactment the benchmarking ordinance. </w:t>
      </w:r>
      <w:r>
        <w:t>The electric utility then had a staff in the city of Boston’s office to work directly with the team implementing the ordinance to ensure optimal collaboration and a streamlined effort for building owners.</w:t>
      </w:r>
    </w:p>
    <w:p w14:paraId="651E9D69" w14:textId="71B3DBFA" w:rsidR="00065DA2" w:rsidRPr="00E279D4" w:rsidRDefault="00065DA2" w:rsidP="007B6EE5">
      <w:r>
        <w:rPr>
          <w:b/>
        </w:rPr>
        <w:t xml:space="preserve">In </w:t>
      </w:r>
      <w:r w:rsidRPr="00E279D4">
        <w:rPr>
          <w:b/>
        </w:rPr>
        <w:t>Chicago, IL</w:t>
      </w:r>
      <w:r>
        <w:rPr>
          <w:b/>
        </w:rPr>
        <w:t xml:space="preserve">, </w:t>
      </w:r>
      <w:r w:rsidRPr="00E279D4">
        <w:t>the</w:t>
      </w:r>
      <w:r>
        <w:t xml:space="preserve"> utility </w:t>
      </w:r>
      <w:proofErr w:type="spellStart"/>
      <w:r>
        <w:t>ComEd</w:t>
      </w:r>
      <w:proofErr w:type="spellEnd"/>
      <w:r>
        <w:t xml:space="preserve"> has been providing aggregated data and </w:t>
      </w:r>
      <w:proofErr w:type="spellStart"/>
      <w:r>
        <w:t>webservices</w:t>
      </w:r>
      <w:proofErr w:type="spellEnd"/>
      <w:r>
        <w:t xml:space="preserve"> to Portfolio Manager since 2008 before the Benchmarking Ordinance </w:t>
      </w:r>
      <w:proofErr w:type="gramStart"/>
      <w:r>
        <w:t>was even discussed</w:t>
      </w:r>
      <w:proofErr w:type="gramEnd"/>
      <w:r>
        <w:t xml:space="preserve"> and many building owners were already taking advantage of the utility tool, EUDS. The </w:t>
      </w:r>
      <w:proofErr w:type="gramStart"/>
      <w:r>
        <w:t>time frame</w:t>
      </w:r>
      <w:proofErr w:type="gramEnd"/>
      <w:r>
        <w:t xml:space="preserve"> between the passage of the ordinance and the first deadline was only 9 months, one of the shortest of all. The outreach effort focused on trainings and 16 sessions </w:t>
      </w:r>
      <w:proofErr w:type="gramStart"/>
      <w:r>
        <w:t>were organized</w:t>
      </w:r>
      <w:proofErr w:type="gramEnd"/>
      <w:r>
        <w:t xml:space="preserve"> by </w:t>
      </w:r>
      <w:proofErr w:type="spellStart"/>
      <w:r>
        <w:t>ComEd</w:t>
      </w:r>
      <w:proofErr w:type="spellEnd"/>
      <w:r>
        <w:t>, People’s gas and EPA to make sure people knew how to report. The utilities were supportive of the creation of the benchmarking ordinance</w:t>
      </w:r>
      <w:r w:rsidR="00E809D9">
        <w:t xml:space="preserve"> </w:t>
      </w:r>
      <w:r w:rsidR="00E809D9" w:rsidRPr="00E809D9">
        <w:rPr>
          <w:rFonts w:ascii="Calibri" w:hAnsi="Calibri" w:cs="Calibri"/>
        </w:rPr>
        <w:t xml:space="preserve">(Ponce and </w:t>
      </w:r>
      <w:proofErr w:type="spellStart"/>
      <w:r w:rsidR="00E809D9" w:rsidRPr="00E809D9">
        <w:rPr>
          <w:rFonts w:ascii="Calibri" w:hAnsi="Calibri" w:cs="Calibri"/>
        </w:rPr>
        <w:t>Bricknell</w:t>
      </w:r>
      <w:proofErr w:type="spellEnd"/>
      <w:r w:rsidR="00E809D9" w:rsidRPr="00E809D9">
        <w:rPr>
          <w:rFonts w:ascii="Calibri" w:hAnsi="Calibri" w:cs="Calibri"/>
        </w:rPr>
        <w:t xml:space="preserve"> 2014)</w:t>
      </w:r>
      <w:r>
        <w:t>.</w:t>
      </w:r>
    </w:p>
    <w:p w14:paraId="62D72F94" w14:textId="77777777" w:rsidR="00BB487D" w:rsidRDefault="00BB487D" w:rsidP="00BB487D"/>
    <w:p w14:paraId="74491A27" w14:textId="088C07C7" w:rsidR="00BB487D" w:rsidRDefault="00BB487D" w:rsidP="00BB487D">
      <w:pPr>
        <w:pStyle w:val="Heading3"/>
      </w:pPr>
      <w:r>
        <w:t>Regional stakeholder interactions</w:t>
      </w:r>
    </w:p>
    <w:p w14:paraId="7F1318C8" w14:textId="32B8CEED" w:rsidR="00065DA2" w:rsidRDefault="00065DA2" w:rsidP="00065DA2"/>
    <w:p w14:paraId="76E72DF0" w14:textId="40AF5E27" w:rsidR="00065DA2" w:rsidRDefault="00065DA2" w:rsidP="00065DA2">
      <w:r>
        <w:t>In addition</w:t>
      </w:r>
      <w:r w:rsidR="00BC7944">
        <w:t>,</w:t>
      </w:r>
      <w:r>
        <w:t xml:space="preserve"> to </w:t>
      </w:r>
      <w:proofErr w:type="gramStart"/>
      <w:r>
        <w:t>increased</w:t>
      </w:r>
      <w:proofErr w:type="gramEnd"/>
      <w:r>
        <w:t xml:space="preserve"> local discussion</w:t>
      </w:r>
      <w:r w:rsidR="00BC7944">
        <w:t>s</w:t>
      </w:r>
      <w:r>
        <w:t xml:space="preserve"> on opportunities a</w:t>
      </w:r>
      <w:r w:rsidR="00BC7944">
        <w:t>nd barriers surrounding energy benchmarking</w:t>
      </w:r>
      <w:r>
        <w:t xml:space="preserve"> implementation, a regional effect can be observed.  Several Cities</w:t>
      </w:r>
      <w:r w:rsidR="00BC7944">
        <w:t xml:space="preserve"> who voted an</w:t>
      </w:r>
      <w:r>
        <w:t xml:space="preserve"> ordinance  </w:t>
      </w:r>
      <w:r w:rsidR="001E0A4A">
        <w:t xml:space="preserve"> in the p</w:t>
      </w:r>
      <w:r w:rsidR="00BC7944">
        <w:t xml:space="preserve">ast 5 years are located </w:t>
      </w:r>
      <w:r>
        <w:t>in t</w:t>
      </w:r>
      <w:r w:rsidR="00BC7944">
        <w:t>he proximity of a mu</w:t>
      </w:r>
      <w:r>
        <w:t>n</w:t>
      </w:r>
      <w:r w:rsidR="00BC7944">
        <w:t>i</w:t>
      </w:r>
      <w:r>
        <w:t xml:space="preserve">cipality </w:t>
      </w:r>
      <w:r w:rsidR="00BC7944">
        <w:t>that had already enacted or implemented a benchmarking ordinance. Interviews revealed that the proximity of another city facilitated the process on several levels</w:t>
      </w:r>
      <w:r w:rsidR="0071080A">
        <w:t xml:space="preserve"> as illustrated for the specific case of Boston and Cambridge in figure 8</w:t>
      </w:r>
      <w:r w:rsidR="00BC7944">
        <w:t xml:space="preserve">. </w:t>
      </w:r>
    </w:p>
    <w:p w14:paraId="1CD54BE9" w14:textId="149FBF46" w:rsidR="0071080A" w:rsidRDefault="0071080A" w:rsidP="0071080A">
      <w:pPr>
        <w:pStyle w:val="Caption"/>
      </w:pPr>
      <w:bookmarkStart w:id="25" w:name="_Toc532165410"/>
      <w:r>
        <w:rPr>
          <w:noProof/>
        </w:rPr>
        <w:drawing>
          <wp:inline distT="0" distB="0" distL="0" distR="0" wp14:anchorId="3DCDE896" wp14:editId="1F609A89">
            <wp:extent cx="5943600"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8</w:t>
      </w:r>
      <w:r w:rsidR="00461074">
        <w:rPr>
          <w:noProof/>
        </w:rPr>
        <w:fldChar w:fldCharType="end"/>
      </w:r>
      <w:r>
        <w:t>: timeline of how Cambridge followed Boston’s effort to develop and implement a benchmarking ordinance</w:t>
      </w:r>
      <w:bookmarkEnd w:id="25"/>
    </w:p>
    <w:p w14:paraId="0224FB95" w14:textId="185D0E91" w:rsidR="0071080A" w:rsidRDefault="0071080A" w:rsidP="0071080A">
      <w:r>
        <w:lastRenderedPageBreak/>
        <w:t>In figure 8, we highlighted the parallel process between Boston and Cambridge</w:t>
      </w:r>
    </w:p>
    <w:p w14:paraId="3EA5CB44" w14:textId="59CF560C" w:rsidR="0071080A" w:rsidRDefault="0071080A" w:rsidP="0071080A">
      <w:r>
        <w:t>Large building owners who have properties in a cities with benchmarking ordinances were already educated about the process of complying with such ordinances and their concerns were addressed or appeased with the  implementation in the first city as  reported by city staff in Boston and Cambridge</w:t>
      </w:r>
      <w:r>
        <w:fldChar w:fldCharType="begin"/>
      </w:r>
      <w:r>
        <w:instrText xml:space="preserve"> ADDIN ZOTERO_ITEM CSL_CITATION {"citationID":"byeN35Tp","properties":{"formattedCitation":"(Bolduc 2014)","plainCitation":"(Bolduc 2014)","noteIndex":0},"citationItems":[{"id":782,"uris":["http://zotero.org/users/1410454/items/ZCTIR4KH"],"uri":["http://zotero.org/users/1410454/items/ZCTIR4KH"],"itemData":{"id":782,"type":"interview","title":"EDA Stakeholder call with Cambridge","author":[{"family":"Bolduc","given":"John"}],"issued":{"date-parts":[["2014",5,28]]}}}],"schema":"https://github.com/citation-style-language/schema/raw/master/csl-citation.json"} </w:instrText>
      </w:r>
      <w:r>
        <w:fldChar w:fldCharType="separate"/>
      </w:r>
      <w:r w:rsidRPr="00F71052">
        <w:rPr>
          <w:rFonts w:ascii="Calibri" w:hAnsi="Calibri" w:cs="Calibri"/>
        </w:rPr>
        <w:t>(Bolduc 2014)</w:t>
      </w:r>
      <w:r>
        <w:fldChar w:fldCharType="end"/>
      </w:r>
      <w:r>
        <w:t>.</w:t>
      </w:r>
    </w:p>
    <w:p w14:paraId="32F72DA5" w14:textId="52DF577B" w:rsidR="00BC7944" w:rsidRDefault="00BC7944" w:rsidP="00065DA2">
      <w:r>
        <w:t>When located in the same utility territory, the first city already provided a data access solution for their customers that is proven and tested by the first city</w:t>
      </w:r>
      <w:r w:rsidR="00EE1A1A">
        <w:t xml:space="preserve"> as in the case with Evanston following Chicago</w:t>
      </w:r>
      <w:r w:rsidR="001E0A4A">
        <w:fldChar w:fldCharType="begin"/>
      </w:r>
      <w:r w:rsidR="001E0A4A">
        <w:instrText xml:space="preserve"> ADDIN ZOTERO_ITEM CSL_CITATION {"citationID":"8zvMAhWc","properties":{"formattedCitation":"(Monisha Shah 2015)","plainCitation":"(Monisha Shah 2015)","noteIndex":0},"citationItems":[{"id":1178,"uris":["http://zotero.org/users/1410454/items/SCPBET3U"],"uri":["http://zotero.org/users/1410454/items/SCPBET3U"],"itemData":{"id":1178,"type":"speech","title":"Energy Data Accelerator Partners Workshop","author":[{"literal":"Monisha Shah"}],"issued":{"date-parts":[["2015",5]]}}}],"schema":"https://github.com/citation-style-language/schema/raw/master/csl-citation.json"} </w:instrText>
      </w:r>
      <w:r w:rsidR="001E0A4A">
        <w:fldChar w:fldCharType="separate"/>
      </w:r>
      <w:r w:rsidR="001E0A4A" w:rsidRPr="001E0A4A">
        <w:rPr>
          <w:rFonts w:ascii="Calibri" w:hAnsi="Calibri" w:cs="Calibri"/>
        </w:rPr>
        <w:t>(Monisha Shah 2015)</w:t>
      </w:r>
      <w:r w:rsidR="001E0A4A">
        <w:fldChar w:fldCharType="end"/>
      </w:r>
      <w:r w:rsidR="001E0A4A">
        <w:t xml:space="preserve"> </w:t>
      </w:r>
      <w:r>
        <w:t>.</w:t>
      </w:r>
    </w:p>
    <w:p w14:paraId="4861B891" w14:textId="731B0D08" w:rsidR="00EE1A1A" w:rsidRDefault="00AE31A4" w:rsidP="00065DA2">
      <w:r>
        <w:rPr>
          <w:noProof/>
        </w:rPr>
        <mc:AlternateContent>
          <mc:Choice Requires="wps">
            <w:drawing>
              <wp:anchor distT="45720" distB="45720" distL="114300" distR="114300" simplePos="0" relativeHeight="251702784" behindDoc="0" locked="0" layoutInCell="1" allowOverlap="1" wp14:anchorId="519E4711" wp14:editId="4432C83D">
                <wp:simplePos x="0" y="0"/>
                <wp:positionH relativeFrom="column">
                  <wp:posOffset>30480</wp:posOffset>
                </wp:positionH>
                <wp:positionV relativeFrom="paragraph">
                  <wp:posOffset>899795</wp:posOffset>
                </wp:positionV>
                <wp:extent cx="5722620" cy="1404620"/>
                <wp:effectExtent l="0" t="0" r="11430" b="279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04620"/>
                        </a:xfrm>
                        <a:prstGeom prst="rect">
                          <a:avLst/>
                        </a:prstGeom>
                        <a:solidFill>
                          <a:schemeClr val="bg1">
                            <a:lumMod val="85000"/>
                          </a:schemeClr>
                        </a:solidFill>
                        <a:ln w="9525">
                          <a:solidFill>
                            <a:srgbClr val="000000"/>
                          </a:solidFill>
                          <a:miter lim="800000"/>
                          <a:headEnd/>
                          <a:tailEnd/>
                        </a:ln>
                      </wps:spPr>
                      <wps:txbx>
                        <w:txbxContent>
                          <w:p w14:paraId="44F6D401" w14:textId="3816C92E" w:rsidR="00AE31A4" w:rsidRDefault="00AE31A4">
                            <w:r w:rsidRPr="00AE31A4">
                              <w:rPr>
                                <w:b/>
                              </w:rPr>
                              <w:t>Findings:</w:t>
                            </w:r>
                            <w:r>
                              <w:t xml:space="preserve"> city located near a location that previously pass</w:t>
                            </w:r>
                            <w:r w:rsidR="00391C68">
                              <w:t>ed</w:t>
                            </w:r>
                            <w:r>
                              <w:t xml:space="preserve"> an ordinance were able to have a faster process due to the outreach and</w:t>
                            </w:r>
                            <w:r w:rsidR="00391C68">
                              <w:t xml:space="preserve"> local</w:t>
                            </w:r>
                            <w:r>
                              <w:t xml:space="preserve"> experience the first city created</w:t>
                            </w:r>
                            <w:r w:rsidR="00391C6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E4711" id="_x0000_s1028" type="#_x0000_t202" style="position:absolute;margin-left:2.4pt;margin-top:70.85pt;width:450.6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" fillcolor="#d8d8d8 [2732]">
                <v:textbox style="mso-fit-shape-to-text:t">
                  <w:txbxContent>
                    <w:p w14:paraId="44F6D401" w14:textId="3816C92E" w:rsidR="00AE31A4" w:rsidRDefault="00AE31A4">
                      <w:r w:rsidRPr="00AE31A4">
                        <w:rPr>
                          <w:b/>
                        </w:rPr>
                        <w:t>Findings:</w:t>
                      </w:r>
                      <w:r>
                        <w:t xml:space="preserve"> city located near a location that previously pass</w:t>
                      </w:r>
                      <w:r w:rsidR="00391C68">
                        <w:t>ed</w:t>
                      </w:r>
                      <w:r>
                        <w:t xml:space="preserve"> an ordinance were able to have a faster process due to the outreach and</w:t>
                      </w:r>
                      <w:r w:rsidR="00391C68">
                        <w:t xml:space="preserve"> local</w:t>
                      </w:r>
                      <w:r>
                        <w:t xml:space="preserve"> experience the first city created</w:t>
                      </w:r>
                      <w:r w:rsidR="00391C68">
                        <w:t>.</w:t>
                      </w:r>
                    </w:p>
                  </w:txbxContent>
                </v:textbox>
                <w10:wrap type="square"/>
              </v:shape>
            </w:pict>
          </mc:Fallback>
        </mc:AlternateContent>
      </w:r>
      <w:r w:rsidR="00EE1A1A">
        <w:t>In states where the Public Authority Commission had to modify the legal contact to enable whole data energy access, the first city in the state cleared the slate for the rest of the state, such as Pennsylvania where Philadelphia actively engage the PUC but Pittsburgh did not need to</w:t>
      </w:r>
      <w:r w:rsidR="001E0A4A">
        <w:fldChar w:fldCharType="begin"/>
      </w:r>
      <w:r w:rsidR="001E0A4A">
        <w:instrText xml:space="preserve"> ADDIN ZOTERO_ITEM CSL_CITATION {"citationID":"bKJEUf2S","properties":{"formattedCitation":"(Monisha Shah 2015)","plainCitation":"(Monisha Shah 2015)","noteIndex":0},"citationItems":[{"id":1178,"uris":["http://zotero.org/users/1410454/items/SCPBET3U"],"uri":["http://zotero.org/users/1410454/items/SCPBET3U"],"itemData":{"id":1178,"type":"speech","title":"Energy Data Accelerator Partners Workshop","author":[{"literal":"Monisha Shah"}],"issued":{"date-parts":[["2015",5]]}}}],"schema":"https://github.com/citation-style-language/schema/raw/master/csl-citation.json"} </w:instrText>
      </w:r>
      <w:r w:rsidR="001E0A4A">
        <w:fldChar w:fldCharType="separate"/>
      </w:r>
      <w:r w:rsidR="001E0A4A" w:rsidRPr="001E0A4A">
        <w:rPr>
          <w:rFonts w:ascii="Calibri" w:hAnsi="Calibri" w:cs="Calibri"/>
        </w:rPr>
        <w:t>( Shah 2015)</w:t>
      </w:r>
      <w:r w:rsidR="001E0A4A">
        <w:fldChar w:fldCharType="end"/>
      </w:r>
      <w:r w:rsidR="00EE1A1A">
        <w:t>.</w:t>
      </w:r>
    </w:p>
    <w:p w14:paraId="019C0429" w14:textId="08C11A4F" w:rsidR="00AD49D7" w:rsidRPr="00065DA2" w:rsidRDefault="00AD49D7" w:rsidP="00065DA2"/>
    <w:p w14:paraId="2E675CF8" w14:textId="5A541CA0" w:rsidR="00317A49" w:rsidRDefault="00AD49D7" w:rsidP="0071080A">
      <w:pPr>
        <w:pStyle w:val="Heading3"/>
      </w:pPr>
      <w:r>
        <w:t>Resources as a result</w:t>
      </w:r>
      <w:r w:rsidR="0071080A">
        <w:t xml:space="preserve"> of the increase stakeholder interactions</w:t>
      </w:r>
    </w:p>
    <w:p w14:paraId="08C848A3" w14:textId="06374887" w:rsidR="0071080A" w:rsidRDefault="0033756D" w:rsidP="0033756D">
      <w:r>
        <w:t>With s</w:t>
      </w:r>
      <w:r w:rsidR="0071080A">
        <w:t>everal cities going through the process of developing and</w:t>
      </w:r>
      <w:r w:rsidR="00E32985">
        <w:t xml:space="preserve"> implementing benchmarking and </w:t>
      </w:r>
      <w:r w:rsidR="0071080A">
        <w:t xml:space="preserve">transparency ordinances, many </w:t>
      </w:r>
      <w:r w:rsidR="00A17310">
        <w:t xml:space="preserve">resources </w:t>
      </w:r>
      <w:proofErr w:type="gramStart"/>
      <w:r w:rsidR="00A17310">
        <w:t>were</w:t>
      </w:r>
      <w:r w:rsidR="0071080A">
        <w:t xml:space="preserve"> created</w:t>
      </w:r>
      <w:proofErr w:type="gramEnd"/>
      <w:r w:rsidR="0071080A">
        <w:t xml:space="preserve"> to document an</w:t>
      </w:r>
      <w:r>
        <w:t xml:space="preserve">d support the efforts, as </w:t>
      </w:r>
      <w:r w:rsidR="00E32985">
        <w:t xml:space="preserve">we </w:t>
      </w:r>
      <w:r>
        <w:t>summariz</w:t>
      </w:r>
      <w:r w:rsidR="0071080A">
        <w:t>ed in table 5</w:t>
      </w:r>
      <w:r>
        <w:t>.</w:t>
      </w:r>
    </w:p>
    <w:tbl>
      <w:tblPr>
        <w:tblW w:w="6720" w:type="dxa"/>
        <w:tblInd w:w="108" w:type="dxa"/>
        <w:tblLook w:val="04A0" w:firstRow="1" w:lastRow="0" w:firstColumn="1" w:lastColumn="0" w:noHBand="0" w:noVBand="1"/>
      </w:tblPr>
      <w:tblGrid>
        <w:gridCol w:w="1412"/>
        <w:gridCol w:w="960"/>
        <w:gridCol w:w="1004"/>
        <w:gridCol w:w="960"/>
        <w:gridCol w:w="960"/>
        <w:gridCol w:w="1353"/>
        <w:gridCol w:w="1239"/>
      </w:tblGrid>
      <w:tr w:rsidR="00317A49" w:rsidRPr="00C90248" w14:paraId="563F4DE4" w14:textId="77777777" w:rsidTr="00700FB8">
        <w:trPr>
          <w:trHeight w:val="588"/>
        </w:trPr>
        <w:tc>
          <w:tcPr>
            <w:tcW w:w="960" w:type="dxa"/>
            <w:tcBorders>
              <w:top w:val="single" w:sz="8" w:space="0" w:color="FFFFFF"/>
              <w:left w:val="single" w:sz="8" w:space="0" w:color="FFFFFF"/>
              <w:bottom w:val="single" w:sz="12" w:space="0" w:color="FFFFFF"/>
              <w:right w:val="single" w:sz="8" w:space="0" w:color="FFFFFF"/>
            </w:tcBorders>
            <w:shd w:val="clear" w:color="000000" w:fill="27CED7"/>
            <w:hideMark/>
          </w:tcPr>
          <w:p w14:paraId="269D730B" w14:textId="06AA64F9" w:rsidR="00317A49" w:rsidRPr="00C90248" w:rsidRDefault="00317A49" w:rsidP="00700FB8">
            <w:pPr>
              <w:spacing w:after="0" w:line="240" w:lineRule="auto"/>
              <w:rPr>
                <w:rFonts w:ascii="Arial" w:eastAsia="Times New Roman" w:hAnsi="Arial" w:cs="Arial"/>
              </w:rPr>
            </w:pPr>
            <w:r w:rsidRPr="00A17310">
              <w:rPr>
                <w:rFonts w:ascii="Corbel" w:eastAsia="Times New Roman" w:hAnsi="Corbel" w:cs="Calibri"/>
                <w:b/>
                <w:bCs/>
                <w:color w:val="FFFFFF"/>
              </w:rPr>
              <w:t> </w:t>
            </w:r>
            <w:r w:rsidR="0071080A" w:rsidRPr="00A17310">
              <w:rPr>
                <w:rFonts w:ascii="Corbel" w:eastAsia="Times New Roman" w:hAnsi="Corbel" w:cs="Calibri"/>
                <w:b/>
                <w:bCs/>
                <w:color w:val="FFFFFF"/>
              </w:rPr>
              <w:t>audience</w:t>
            </w:r>
          </w:p>
        </w:tc>
        <w:tc>
          <w:tcPr>
            <w:tcW w:w="960" w:type="dxa"/>
            <w:tcBorders>
              <w:top w:val="single" w:sz="8" w:space="0" w:color="FFFFFF"/>
              <w:left w:val="nil"/>
              <w:bottom w:val="single" w:sz="12" w:space="0" w:color="FFFFFF"/>
              <w:right w:val="single" w:sz="8" w:space="0" w:color="FFFFFF"/>
            </w:tcBorders>
            <w:shd w:val="clear" w:color="000000" w:fill="27CED7"/>
            <w:vAlign w:val="center"/>
            <w:hideMark/>
          </w:tcPr>
          <w:p w14:paraId="015344AB"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IMT</w:t>
            </w:r>
          </w:p>
        </w:tc>
        <w:tc>
          <w:tcPr>
            <w:tcW w:w="960" w:type="dxa"/>
            <w:tcBorders>
              <w:top w:val="single" w:sz="8" w:space="0" w:color="FFFFFF"/>
              <w:left w:val="nil"/>
              <w:bottom w:val="single" w:sz="12" w:space="0" w:color="FFFFFF"/>
              <w:right w:val="single" w:sz="8" w:space="0" w:color="FFFFFF"/>
            </w:tcBorders>
            <w:shd w:val="clear" w:color="000000" w:fill="27CED7"/>
            <w:vAlign w:val="center"/>
            <w:hideMark/>
          </w:tcPr>
          <w:p w14:paraId="727DF529"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Better Building</w:t>
            </w:r>
          </w:p>
        </w:tc>
        <w:tc>
          <w:tcPr>
            <w:tcW w:w="960" w:type="dxa"/>
            <w:tcBorders>
              <w:top w:val="single" w:sz="8" w:space="0" w:color="FFFFFF"/>
              <w:left w:val="nil"/>
              <w:bottom w:val="single" w:sz="12" w:space="0" w:color="FFFFFF"/>
              <w:right w:val="single" w:sz="8" w:space="0" w:color="FFFFFF"/>
            </w:tcBorders>
            <w:shd w:val="clear" w:color="000000" w:fill="27CED7"/>
            <w:vAlign w:val="center"/>
            <w:hideMark/>
          </w:tcPr>
          <w:p w14:paraId="65332A11"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Non-profits</w:t>
            </w:r>
          </w:p>
        </w:tc>
        <w:tc>
          <w:tcPr>
            <w:tcW w:w="960" w:type="dxa"/>
            <w:tcBorders>
              <w:top w:val="single" w:sz="8" w:space="0" w:color="FFFFFF"/>
              <w:left w:val="nil"/>
              <w:bottom w:val="single" w:sz="12" w:space="0" w:color="FFFFFF"/>
              <w:right w:val="single" w:sz="8" w:space="0" w:color="FFFFFF"/>
            </w:tcBorders>
            <w:shd w:val="clear" w:color="000000" w:fill="27CED7"/>
            <w:vAlign w:val="center"/>
            <w:hideMark/>
          </w:tcPr>
          <w:p w14:paraId="76E1C36F"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Cities</w:t>
            </w:r>
          </w:p>
        </w:tc>
        <w:tc>
          <w:tcPr>
            <w:tcW w:w="960" w:type="dxa"/>
            <w:tcBorders>
              <w:top w:val="single" w:sz="8" w:space="0" w:color="FFFFFF"/>
              <w:left w:val="nil"/>
              <w:bottom w:val="single" w:sz="12" w:space="0" w:color="FFFFFF"/>
              <w:right w:val="single" w:sz="8" w:space="0" w:color="FFFFFF"/>
            </w:tcBorders>
            <w:shd w:val="clear" w:color="000000" w:fill="27CED7"/>
            <w:vAlign w:val="center"/>
            <w:hideMark/>
          </w:tcPr>
          <w:p w14:paraId="4E1383CB"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Consultants</w:t>
            </w:r>
          </w:p>
        </w:tc>
        <w:tc>
          <w:tcPr>
            <w:tcW w:w="960" w:type="dxa"/>
            <w:tcBorders>
              <w:top w:val="single" w:sz="8" w:space="0" w:color="FFFFFF"/>
              <w:left w:val="nil"/>
              <w:bottom w:val="single" w:sz="12" w:space="0" w:color="FFFFFF"/>
              <w:right w:val="single" w:sz="8" w:space="0" w:color="FFFFFF"/>
            </w:tcBorders>
            <w:shd w:val="clear" w:color="000000" w:fill="27CED7"/>
            <w:vAlign w:val="center"/>
            <w:hideMark/>
          </w:tcPr>
          <w:p w14:paraId="5DB3CFFF"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Academics</w:t>
            </w:r>
          </w:p>
        </w:tc>
      </w:tr>
      <w:tr w:rsidR="00317A49" w:rsidRPr="00C90248" w14:paraId="029DEA0E" w14:textId="77777777" w:rsidTr="00700FB8">
        <w:trPr>
          <w:trHeight w:val="888"/>
        </w:trPr>
        <w:tc>
          <w:tcPr>
            <w:tcW w:w="960" w:type="dxa"/>
            <w:tcBorders>
              <w:top w:val="nil"/>
              <w:left w:val="single" w:sz="8" w:space="0" w:color="FFFFFF"/>
              <w:bottom w:val="single" w:sz="8" w:space="0" w:color="FFFFFF"/>
              <w:right w:val="single" w:sz="8" w:space="0" w:color="FFFFFF"/>
            </w:tcBorders>
            <w:shd w:val="clear" w:color="000000" w:fill="27CED7"/>
            <w:vAlign w:val="center"/>
            <w:hideMark/>
          </w:tcPr>
          <w:p w14:paraId="559BFF04"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Local Government</w:t>
            </w:r>
          </w:p>
        </w:tc>
        <w:tc>
          <w:tcPr>
            <w:tcW w:w="960" w:type="dxa"/>
            <w:tcBorders>
              <w:top w:val="nil"/>
              <w:left w:val="nil"/>
              <w:bottom w:val="single" w:sz="8" w:space="0" w:color="FFFFFF"/>
              <w:right w:val="single" w:sz="8" w:space="0" w:color="FFFFFF"/>
            </w:tcBorders>
            <w:shd w:val="clear" w:color="000000" w:fill="CDEDF0"/>
            <w:vAlign w:val="center"/>
            <w:hideMark/>
          </w:tcPr>
          <w:p w14:paraId="5C931877"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35</w:t>
            </w:r>
          </w:p>
        </w:tc>
        <w:tc>
          <w:tcPr>
            <w:tcW w:w="960" w:type="dxa"/>
            <w:tcBorders>
              <w:top w:val="nil"/>
              <w:left w:val="nil"/>
              <w:bottom w:val="single" w:sz="8" w:space="0" w:color="FFFFFF"/>
              <w:right w:val="single" w:sz="8" w:space="0" w:color="FFFFFF"/>
            </w:tcBorders>
            <w:shd w:val="clear" w:color="000000" w:fill="CDEDF0"/>
            <w:vAlign w:val="center"/>
            <w:hideMark/>
          </w:tcPr>
          <w:p w14:paraId="121E692C"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3</w:t>
            </w:r>
          </w:p>
        </w:tc>
        <w:tc>
          <w:tcPr>
            <w:tcW w:w="960" w:type="dxa"/>
            <w:tcBorders>
              <w:top w:val="nil"/>
              <w:left w:val="nil"/>
              <w:bottom w:val="single" w:sz="8" w:space="0" w:color="FFFFFF"/>
              <w:right w:val="single" w:sz="8" w:space="0" w:color="FFFFFF"/>
            </w:tcBorders>
            <w:shd w:val="clear" w:color="000000" w:fill="CDEDF0"/>
            <w:vAlign w:val="center"/>
            <w:hideMark/>
          </w:tcPr>
          <w:p w14:paraId="33B56B97"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5</w:t>
            </w:r>
          </w:p>
        </w:tc>
        <w:tc>
          <w:tcPr>
            <w:tcW w:w="960" w:type="dxa"/>
            <w:tcBorders>
              <w:top w:val="nil"/>
              <w:left w:val="nil"/>
              <w:bottom w:val="single" w:sz="8" w:space="0" w:color="FFFFFF"/>
              <w:right w:val="single" w:sz="8" w:space="0" w:color="FFFFFF"/>
            </w:tcBorders>
            <w:shd w:val="clear" w:color="000000" w:fill="CDEDF0"/>
            <w:hideMark/>
          </w:tcPr>
          <w:p w14:paraId="51ED58F2"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vAlign w:val="center"/>
            <w:hideMark/>
          </w:tcPr>
          <w:p w14:paraId="197A14A2"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1</w:t>
            </w:r>
          </w:p>
        </w:tc>
        <w:tc>
          <w:tcPr>
            <w:tcW w:w="960" w:type="dxa"/>
            <w:tcBorders>
              <w:top w:val="nil"/>
              <w:left w:val="nil"/>
              <w:bottom w:val="single" w:sz="8" w:space="0" w:color="FFFFFF"/>
              <w:right w:val="single" w:sz="8" w:space="0" w:color="FFFFFF"/>
            </w:tcBorders>
            <w:shd w:val="clear" w:color="000000" w:fill="CDEDF0"/>
            <w:vAlign w:val="center"/>
            <w:hideMark/>
          </w:tcPr>
          <w:p w14:paraId="7B7640B9"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1</w:t>
            </w:r>
          </w:p>
        </w:tc>
      </w:tr>
      <w:tr w:rsidR="00317A49" w:rsidRPr="00C90248" w14:paraId="791A0BEF" w14:textId="77777777" w:rsidTr="00700FB8">
        <w:trPr>
          <w:trHeight w:val="300"/>
        </w:trPr>
        <w:tc>
          <w:tcPr>
            <w:tcW w:w="960" w:type="dxa"/>
            <w:tcBorders>
              <w:top w:val="nil"/>
              <w:left w:val="single" w:sz="8" w:space="0" w:color="FFFFFF"/>
              <w:bottom w:val="single" w:sz="8" w:space="0" w:color="FFFFFF"/>
              <w:right w:val="single" w:sz="8" w:space="0" w:color="FFFFFF"/>
            </w:tcBorders>
            <w:shd w:val="clear" w:color="000000" w:fill="27CED7"/>
            <w:vAlign w:val="center"/>
            <w:hideMark/>
          </w:tcPr>
          <w:p w14:paraId="7F28BD79"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Utility</w:t>
            </w:r>
          </w:p>
        </w:tc>
        <w:tc>
          <w:tcPr>
            <w:tcW w:w="960" w:type="dxa"/>
            <w:tcBorders>
              <w:top w:val="nil"/>
              <w:left w:val="nil"/>
              <w:bottom w:val="single" w:sz="8" w:space="0" w:color="FFFFFF"/>
              <w:right w:val="single" w:sz="8" w:space="0" w:color="FFFFFF"/>
            </w:tcBorders>
            <w:shd w:val="clear" w:color="000000" w:fill="E8F6F8"/>
            <w:vAlign w:val="center"/>
            <w:hideMark/>
          </w:tcPr>
          <w:p w14:paraId="58F9D979"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23</w:t>
            </w:r>
          </w:p>
        </w:tc>
        <w:tc>
          <w:tcPr>
            <w:tcW w:w="960" w:type="dxa"/>
            <w:tcBorders>
              <w:top w:val="nil"/>
              <w:left w:val="nil"/>
              <w:bottom w:val="single" w:sz="8" w:space="0" w:color="FFFFFF"/>
              <w:right w:val="single" w:sz="8" w:space="0" w:color="FFFFFF"/>
            </w:tcBorders>
            <w:shd w:val="clear" w:color="000000" w:fill="E8F6F8"/>
            <w:vAlign w:val="center"/>
            <w:hideMark/>
          </w:tcPr>
          <w:p w14:paraId="0418D3F2"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6</w:t>
            </w:r>
          </w:p>
        </w:tc>
        <w:tc>
          <w:tcPr>
            <w:tcW w:w="960" w:type="dxa"/>
            <w:tcBorders>
              <w:top w:val="nil"/>
              <w:left w:val="nil"/>
              <w:bottom w:val="single" w:sz="8" w:space="0" w:color="FFFFFF"/>
              <w:right w:val="single" w:sz="8" w:space="0" w:color="FFFFFF"/>
            </w:tcBorders>
            <w:shd w:val="clear" w:color="000000" w:fill="E8F6F8"/>
            <w:vAlign w:val="center"/>
            <w:hideMark/>
          </w:tcPr>
          <w:p w14:paraId="4787AE59"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2</w:t>
            </w:r>
          </w:p>
        </w:tc>
        <w:tc>
          <w:tcPr>
            <w:tcW w:w="960" w:type="dxa"/>
            <w:tcBorders>
              <w:top w:val="nil"/>
              <w:left w:val="nil"/>
              <w:bottom w:val="single" w:sz="8" w:space="0" w:color="FFFFFF"/>
              <w:right w:val="single" w:sz="8" w:space="0" w:color="FFFFFF"/>
            </w:tcBorders>
            <w:shd w:val="clear" w:color="000000" w:fill="E8F6F8"/>
            <w:hideMark/>
          </w:tcPr>
          <w:p w14:paraId="3B387874"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E8F6F8"/>
            <w:hideMark/>
          </w:tcPr>
          <w:p w14:paraId="0071D81B"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E8F6F8"/>
            <w:hideMark/>
          </w:tcPr>
          <w:p w14:paraId="2A7C2EBF"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r>
      <w:tr w:rsidR="00317A49" w:rsidRPr="00AD49D7" w14:paraId="10863B76" w14:textId="77777777" w:rsidTr="00700FB8">
        <w:trPr>
          <w:trHeight w:val="588"/>
        </w:trPr>
        <w:tc>
          <w:tcPr>
            <w:tcW w:w="960" w:type="dxa"/>
            <w:tcBorders>
              <w:top w:val="nil"/>
              <w:left w:val="single" w:sz="8" w:space="0" w:color="FFFFFF"/>
              <w:bottom w:val="single" w:sz="8" w:space="0" w:color="FFFFFF"/>
              <w:right w:val="single" w:sz="8" w:space="0" w:color="FFFFFF"/>
            </w:tcBorders>
            <w:shd w:val="clear" w:color="000000" w:fill="27CED7"/>
            <w:vAlign w:val="center"/>
            <w:hideMark/>
          </w:tcPr>
          <w:p w14:paraId="7748BE27"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Building Owners</w:t>
            </w:r>
          </w:p>
        </w:tc>
        <w:tc>
          <w:tcPr>
            <w:tcW w:w="960" w:type="dxa"/>
            <w:tcBorders>
              <w:top w:val="nil"/>
              <w:left w:val="nil"/>
              <w:bottom w:val="single" w:sz="8" w:space="0" w:color="FFFFFF"/>
              <w:right w:val="single" w:sz="8" w:space="0" w:color="FFFFFF"/>
            </w:tcBorders>
            <w:shd w:val="clear" w:color="000000" w:fill="CDEDF0"/>
            <w:vAlign w:val="center"/>
            <w:hideMark/>
          </w:tcPr>
          <w:p w14:paraId="3CB3DD2C"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7</w:t>
            </w:r>
          </w:p>
        </w:tc>
        <w:tc>
          <w:tcPr>
            <w:tcW w:w="960" w:type="dxa"/>
            <w:tcBorders>
              <w:top w:val="nil"/>
              <w:left w:val="nil"/>
              <w:bottom w:val="single" w:sz="8" w:space="0" w:color="FFFFFF"/>
              <w:right w:val="single" w:sz="8" w:space="0" w:color="FFFFFF"/>
            </w:tcBorders>
            <w:shd w:val="clear" w:color="000000" w:fill="CDEDF0"/>
            <w:hideMark/>
          </w:tcPr>
          <w:p w14:paraId="5B38B654"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hideMark/>
          </w:tcPr>
          <w:p w14:paraId="29B78A16"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vAlign w:val="center"/>
            <w:hideMark/>
          </w:tcPr>
          <w:p w14:paraId="0139321B"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26</w:t>
            </w:r>
          </w:p>
        </w:tc>
        <w:tc>
          <w:tcPr>
            <w:tcW w:w="960" w:type="dxa"/>
            <w:tcBorders>
              <w:top w:val="nil"/>
              <w:left w:val="nil"/>
              <w:bottom w:val="single" w:sz="8" w:space="0" w:color="FFFFFF"/>
              <w:right w:val="single" w:sz="8" w:space="0" w:color="FFFFFF"/>
            </w:tcBorders>
            <w:shd w:val="clear" w:color="000000" w:fill="CDEDF0"/>
            <w:hideMark/>
          </w:tcPr>
          <w:p w14:paraId="0A43ED8F"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hideMark/>
          </w:tcPr>
          <w:p w14:paraId="6AFD3FD2"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r>
      <w:tr w:rsidR="00317A49" w:rsidRPr="00C90248" w14:paraId="76F0B6A1" w14:textId="77777777" w:rsidTr="00700FB8">
        <w:trPr>
          <w:trHeight w:val="588"/>
        </w:trPr>
        <w:tc>
          <w:tcPr>
            <w:tcW w:w="960" w:type="dxa"/>
            <w:tcBorders>
              <w:top w:val="nil"/>
              <w:left w:val="single" w:sz="8" w:space="0" w:color="FFFFFF"/>
              <w:bottom w:val="single" w:sz="8" w:space="0" w:color="FFFFFF"/>
              <w:right w:val="single" w:sz="8" w:space="0" w:color="FFFFFF"/>
            </w:tcBorders>
            <w:shd w:val="clear" w:color="000000" w:fill="27CED7"/>
            <w:vAlign w:val="center"/>
            <w:hideMark/>
          </w:tcPr>
          <w:p w14:paraId="08A3E9C6" w14:textId="77777777" w:rsidR="00317A49" w:rsidRPr="00C90248" w:rsidRDefault="00317A49" w:rsidP="00700FB8">
            <w:pPr>
              <w:spacing w:after="0" w:line="240" w:lineRule="auto"/>
              <w:rPr>
                <w:rFonts w:ascii="Corbel" w:eastAsia="Times New Roman" w:hAnsi="Corbel" w:cs="Calibri"/>
                <w:b/>
                <w:bCs/>
                <w:color w:val="FFFFFF"/>
              </w:rPr>
            </w:pPr>
            <w:r w:rsidRPr="00C90248">
              <w:rPr>
                <w:rFonts w:ascii="Corbel" w:eastAsia="Times New Roman" w:hAnsi="Corbel" w:cs="Calibri"/>
                <w:b/>
                <w:bCs/>
                <w:color w:val="FFFFFF"/>
              </w:rPr>
              <w:t>Regulator</w:t>
            </w:r>
          </w:p>
        </w:tc>
        <w:tc>
          <w:tcPr>
            <w:tcW w:w="960" w:type="dxa"/>
            <w:tcBorders>
              <w:top w:val="nil"/>
              <w:left w:val="nil"/>
              <w:bottom w:val="single" w:sz="8" w:space="0" w:color="FFFFFF"/>
              <w:right w:val="single" w:sz="8" w:space="0" w:color="FFFFFF"/>
            </w:tcBorders>
            <w:shd w:val="clear" w:color="000000" w:fill="E8F6F8"/>
            <w:hideMark/>
          </w:tcPr>
          <w:p w14:paraId="134C047C"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E8F6F8"/>
            <w:hideMark/>
          </w:tcPr>
          <w:p w14:paraId="6654BB52"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E8F6F8"/>
            <w:vAlign w:val="center"/>
            <w:hideMark/>
          </w:tcPr>
          <w:p w14:paraId="5BA3346B"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1</w:t>
            </w:r>
          </w:p>
        </w:tc>
        <w:tc>
          <w:tcPr>
            <w:tcW w:w="960" w:type="dxa"/>
            <w:tcBorders>
              <w:top w:val="nil"/>
              <w:left w:val="nil"/>
              <w:bottom w:val="single" w:sz="8" w:space="0" w:color="FFFFFF"/>
              <w:right w:val="single" w:sz="8" w:space="0" w:color="FFFFFF"/>
            </w:tcBorders>
            <w:shd w:val="clear" w:color="000000" w:fill="E8F6F8"/>
            <w:hideMark/>
          </w:tcPr>
          <w:p w14:paraId="1F1EE1D6"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E8F6F8"/>
            <w:vAlign w:val="center"/>
            <w:hideMark/>
          </w:tcPr>
          <w:p w14:paraId="7ECA96F8"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2</w:t>
            </w:r>
          </w:p>
        </w:tc>
        <w:tc>
          <w:tcPr>
            <w:tcW w:w="960" w:type="dxa"/>
            <w:tcBorders>
              <w:top w:val="nil"/>
              <w:left w:val="nil"/>
              <w:bottom w:val="single" w:sz="8" w:space="0" w:color="FFFFFF"/>
              <w:right w:val="single" w:sz="8" w:space="0" w:color="FFFFFF"/>
            </w:tcBorders>
            <w:shd w:val="clear" w:color="000000" w:fill="E8F6F8"/>
            <w:hideMark/>
          </w:tcPr>
          <w:p w14:paraId="3D0EAC31"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r>
      <w:tr w:rsidR="00317A49" w:rsidRPr="00C90248" w14:paraId="69A390C3" w14:textId="77777777" w:rsidTr="00700FB8">
        <w:trPr>
          <w:trHeight w:val="300"/>
        </w:trPr>
        <w:tc>
          <w:tcPr>
            <w:tcW w:w="960" w:type="dxa"/>
            <w:tcBorders>
              <w:top w:val="nil"/>
              <w:left w:val="single" w:sz="8" w:space="0" w:color="FFFFFF"/>
              <w:bottom w:val="single" w:sz="8" w:space="0" w:color="FFFFFF"/>
              <w:right w:val="single" w:sz="8" w:space="0" w:color="FFFFFF"/>
            </w:tcBorders>
            <w:shd w:val="clear" w:color="000000" w:fill="27CED7"/>
            <w:vAlign w:val="center"/>
            <w:hideMark/>
          </w:tcPr>
          <w:p w14:paraId="0B9B2EBC" w14:textId="7A944213" w:rsidR="00317A49" w:rsidRPr="00C90248" w:rsidRDefault="00AD49D7" w:rsidP="00700FB8">
            <w:pPr>
              <w:spacing w:after="0" w:line="240" w:lineRule="auto"/>
              <w:rPr>
                <w:rFonts w:ascii="Corbel" w:eastAsia="Times New Roman" w:hAnsi="Corbel" w:cs="Calibri"/>
                <w:b/>
                <w:bCs/>
                <w:color w:val="FFFFFF"/>
              </w:rPr>
            </w:pPr>
            <w:r>
              <w:rPr>
                <w:rFonts w:ascii="Corbel" w:eastAsia="Times New Roman" w:hAnsi="Corbel" w:cs="Calibri"/>
                <w:b/>
                <w:bCs/>
                <w:color w:val="FFFFFF"/>
              </w:rPr>
              <w:t>Everyone</w:t>
            </w:r>
          </w:p>
        </w:tc>
        <w:tc>
          <w:tcPr>
            <w:tcW w:w="960" w:type="dxa"/>
            <w:tcBorders>
              <w:top w:val="nil"/>
              <w:left w:val="nil"/>
              <w:bottom w:val="single" w:sz="8" w:space="0" w:color="FFFFFF"/>
              <w:right w:val="single" w:sz="8" w:space="0" w:color="FFFFFF"/>
            </w:tcBorders>
            <w:shd w:val="clear" w:color="000000" w:fill="CDEDF0"/>
            <w:hideMark/>
          </w:tcPr>
          <w:p w14:paraId="5B5C99AB"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vAlign w:val="center"/>
            <w:hideMark/>
          </w:tcPr>
          <w:p w14:paraId="0A8017E1"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2</w:t>
            </w:r>
          </w:p>
        </w:tc>
        <w:tc>
          <w:tcPr>
            <w:tcW w:w="960" w:type="dxa"/>
            <w:tcBorders>
              <w:top w:val="nil"/>
              <w:left w:val="nil"/>
              <w:bottom w:val="single" w:sz="8" w:space="0" w:color="FFFFFF"/>
              <w:right w:val="single" w:sz="8" w:space="0" w:color="FFFFFF"/>
            </w:tcBorders>
            <w:shd w:val="clear" w:color="000000" w:fill="CDEDF0"/>
            <w:hideMark/>
          </w:tcPr>
          <w:p w14:paraId="6F20D5A6"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vAlign w:val="center"/>
            <w:hideMark/>
          </w:tcPr>
          <w:p w14:paraId="59B12303"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17</w:t>
            </w:r>
          </w:p>
        </w:tc>
        <w:tc>
          <w:tcPr>
            <w:tcW w:w="960" w:type="dxa"/>
            <w:tcBorders>
              <w:top w:val="nil"/>
              <w:left w:val="nil"/>
              <w:bottom w:val="single" w:sz="8" w:space="0" w:color="FFFFFF"/>
              <w:right w:val="single" w:sz="8" w:space="0" w:color="FFFFFF"/>
            </w:tcBorders>
            <w:shd w:val="clear" w:color="000000" w:fill="CDEDF0"/>
            <w:hideMark/>
          </w:tcPr>
          <w:p w14:paraId="7B98FE88" w14:textId="77777777" w:rsidR="00317A49" w:rsidRPr="00C90248" w:rsidRDefault="00317A49" w:rsidP="00700FB8">
            <w:pPr>
              <w:spacing w:after="0" w:line="240" w:lineRule="auto"/>
              <w:rPr>
                <w:rFonts w:ascii="Arial" w:eastAsia="Times New Roman" w:hAnsi="Arial" w:cs="Arial"/>
              </w:rPr>
            </w:pPr>
            <w:r w:rsidRPr="00C90248">
              <w:rPr>
                <w:rFonts w:ascii="Arial" w:eastAsia="Times New Roman" w:hAnsi="Arial" w:cs="Arial"/>
              </w:rPr>
              <w:t> </w:t>
            </w:r>
          </w:p>
        </w:tc>
        <w:tc>
          <w:tcPr>
            <w:tcW w:w="960" w:type="dxa"/>
            <w:tcBorders>
              <w:top w:val="nil"/>
              <w:left w:val="nil"/>
              <w:bottom w:val="single" w:sz="8" w:space="0" w:color="FFFFFF"/>
              <w:right w:val="single" w:sz="8" w:space="0" w:color="FFFFFF"/>
            </w:tcBorders>
            <w:shd w:val="clear" w:color="000000" w:fill="CDEDF0"/>
            <w:vAlign w:val="center"/>
            <w:hideMark/>
          </w:tcPr>
          <w:p w14:paraId="37699C72" w14:textId="77777777" w:rsidR="00317A49" w:rsidRPr="00C90248" w:rsidRDefault="00317A49" w:rsidP="00700FB8">
            <w:pPr>
              <w:spacing w:after="0" w:line="240" w:lineRule="auto"/>
              <w:rPr>
                <w:rFonts w:ascii="Corbel" w:eastAsia="Times New Roman" w:hAnsi="Corbel" w:cs="Calibri"/>
                <w:color w:val="000000"/>
              </w:rPr>
            </w:pPr>
            <w:r w:rsidRPr="00C90248">
              <w:rPr>
                <w:rFonts w:ascii="Corbel" w:eastAsia="Times New Roman" w:hAnsi="Corbel" w:cs="Calibri"/>
                <w:color w:val="000000"/>
              </w:rPr>
              <w:t>2</w:t>
            </w:r>
          </w:p>
        </w:tc>
      </w:tr>
      <w:tr w:rsidR="00317A49" w:rsidRPr="00C90248" w14:paraId="7205E4CF" w14:textId="77777777" w:rsidTr="00A17310">
        <w:trPr>
          <w:trHeight w:val="288"/>
        </w:trPr>
        <w:tc>
          <w:tcPr>
            <w:tcW w:w="960" w:type="dxa"/>
            <w:tcBorders>
              <w:top w:val="nil"/>
              <w:left w:val="nil"/>
              <w:bottom w:val="nil"/>
              <w:right w:val="nil"/>
            </w:tcBorders>
            <w:shd w:val="clear" w:color="auto" w:fill="00CCFF"/>
            <w:noWrap/>
            <w:vAlign w:val="bottom"/>
            <w:hideMark/>
          </w:tcPr>
          <w:p w14:paraId="42F57064" w14:textId="065B160A" w:rsidR="00317A49" w:rsidRPr="00AD49D7" w:rsidRDefault="00AD49D7" w:rsidP="00700FB8">
            <w:pPr>
              <w:spacing w:after="0" w:line="240" w:lineRule="auto"/>
              <w:rPr>
                <w:rFonts w:ascii="Corbel" w:eastAsia="Times New Roman" w:hAnsi="Corbel" w:cs="Calibri"/>
                <w:b/>
                <w:color w:val="000000"/>
              </w:rPr>
            </w:pPr>
            <w:r w:rsidRPr="00AD49D7">
              <w:rPr>
                <w:rFonts w:ascii="Corbel" w:eastAsia="Times New Roman" w:hAnsi="Corbel" w:cs="Calibri"/>
                <w:b/>
                <w:color w:val="000000"/>
              </w:rPr>
              <w:t>Total</w:t>
            </w:r>
          </w:p>
        </w:tc>
        <w:tc>
          <w:tcPr>
            <w:tcW w:w="960" w:type="dxa"/>
            <w:tcBorders>
              <w:top w:val="nil"/>
              <w:left w:val="nil"/>
              <w:bottom w:val="nil"/>
              <w:right w:val="nil"/>
            </w:tcBorders>
            <w:shd w:val="clear" w:color="auto" w:fill="00CCFF"/>
            <w:noWrap/>
            <w:vAlign w:val="bottom"/>
            <w:hideMark/>
          </w:tcPr>
          <w:p w14:paraId="5CE58737" w14:textId="77777777" w:rsidR="00317A49" w:rsidRPr="00AD49D7" w:rsidRDefault="00317A49" w:rsidP="00700FB8">
            <w:pPr>
              <w:spacing w:after="0" w:line="240" w:lineRule="auto"/>
              <w:jc w:val="right"/>
              <w:rPr>
                <w:rFonts w:ascii="Calibri" w:eastAsia="Times New Roman" w:hAnsi="Calibri" w:cs="Calibri"/>
                <w:b/>
                <w:color w:val="000000"/>
              </w:rPr>
            </w:pPr>
            <w:r w:rsidRPr="00AD49D7">
              <w:rPr>
                <w:rFonts w:ascii="Calibri" w:eastAsia="Times New Roman" w:hAnsi="Calibri" w:cs="Calibri"/>
                <w:b/>
                <w:color w:val="000000"/>
              </w:rPr>
              <w:t>65</w:t>
            </w:r>
          </w:p>
        </w:tc>
        <w:tc>
          <w:tcPr>
            <w:tcW w:w="960" w:type="dxa"/>
            <w:tcBorders>
              <w:top w:val="nil"/>
              <w:left w:val="nil"/>
              <w:bottom w:val="nil"/>
              <w:right w:val="nil"/>
            </w:tcBorders>
            <w:shd w:val="clear" w:color="auto" w:fill="00CCFF"/>
            <w:noWrap/>
            <w:vAlign w:val="bottom"/>
            <w:hideMark/>
          </w:tcPr>
          <w:p w14:paraId="6C812F7B" w14:textId="77777777" w:rsidR="00317A49" w:rsidRPr="00AD49D7" w:rsidRDefault="00317A49" w:rsidP="00700FB8">
            <w:pPr>
              <w:spacing w:after="0" w:line="240" w:lineRule="auto"/>
              <w:jc w:val="right"/>
              <w:rPr>
                <w:rFonts w:ascii="Calibri" w:eastAsia="Times New Roman" w:hAnsi="Calibri" w:cs="Calibri"/>
                <w:b/>
                <w:color w:val="000000"/>
              </w:rPr>
            </w:pPr>
            <w:r w:rsidRPr="00AD49D7">
              <w:rPr>
                <w:rFonts w:ascii="Calibri" w:eastAsia="Times New Roman" w:hAnsi="Calibri" w:cs="Calibri"/>
                <w:b/>
                <w:color w:val="000000"/>
              </w:rPr>
              <w:t>11</w:t>
            </w:r>
          </w:p>
        </w:tc>
        <w:tc>
          <w:tcPr>
            <w:tcW w:w="960" w:type="dxa"/>
            <w:tcBorders>
              <w:top w:val="nil"/>
              <w:left w:val="nil"/>
              <w:bottom w:val="nil"/>
              <w:right w:val="nil"/>
            </w:tcBorders>
            <w:shd w:val="clear" w:color="auto" w:fill="00CCFF"/>
            <w:noWrap/>
            <w:vAlign w:val="bottom"/>
            <w:hideMark/>
          </w:tcPr>
          <w:p w14:paraId="33076E1B" w14:textId="77777777" w:rsidR="00317A49" w:rsidRPr="00AD49D7" w:rsidRDefault="00317A49" w:rsidP="00700FB8">
            <w:pPr>
              <w:spacing w:after="0" w:line="240" w:lineRule="auto"/>
              <w:jc w:val="right"/>
              <w:rPr>
                <w:rFonts w:ascii="Calibri" w:eastAsia="Times New Roman" w:hAnsi="Calibri" w:cs="Calibri"/>
                <w:b/>
                <w:color w:val="000000"/>
              </w:rPr>
            </w:pPr>
            <w:r w:rsidRPr="00AD49D7">
              <w:rPr>
                <w:rFonts w:ascii="Calibri" w:eastAsia="Times New Roman" w:hAnsi="Calibri" w:cs="Calibri"/>
                <w:b/>
                <w:color w:val="000000"/>
              </w:rPr>
              <w:t>8</w:t>
            </w:r>
          </w:p>
        </w:tc>
        <w:tc>
          <w:tcPr>
            <w:tcW w:w="960" w:type="dxa"/>
            <w:tcBorders>
              <w:top w:val="nil"/>
              <w:left w:val="nil"/>
              <w:bottom w:val="nil"/>
              <w:right w:val="nil"/>
            </w:tcBorders>
            <w:shd w:val="clear" w:color="auto" w:fill="00CCFF"/>
            <w:noWrap/>
            <w:vAlign w:val="bottom"/>
            <w:hideMark/>
          </w:tcPr>
          <w:p w14:paraId="3F17D55B" w14:textId="77777777" w:rsidR="00317A49" w:rsidRPr="00AD49D7" w:rsidRDefault="00317A49" w:rsidP="00700FB8">
            <w:pPr>
              <w:spacing w:after="0" w:line="240" w:lineRule="auto"/>
              <w:jc w:val="right"/>
              <w:rPr>
                <w:rFonts w:ascii="Calibri" w:eastAsia="Times New Roman" w:hAnsi="Calibri" w:cs="Calibri"/>
                <w:b/>
                <w:color w:val="000000"/>
              </w:rPr>
            </w:pPr>
            <w:r w:rsidRPr="00AD49D7">
              <w:rPr>
                <w:rFonts w:ascii="Calibri" w:eastAsia="Times New Roman" w:hAnsi="Calibri" w:cs="Calibri"/>
                <w:b/>
                <w:color w:val="000000"/>
              </w:rPr>
              <w:t>43</w:t>
            </w:r>
          </w:p>
        </w:tc>
        <w:tc>
          <w:tcPr>
            <w:tcW w:w="960" w:type="dxa"/>
            <w:tcBorders>
              <w:top w:val="nil"/>
              <w:left w:val="nil"/>
              <w:bottom w:val="nil"/>
              <w:right w:val="nil"/>
            </w:tcBorders>
            <w:shd w:val="clear" w:color="auto" w:fill="00CCFF"/>
            <w:noWrap/>
            <w:vAlign w:val="bottom"/>
            <w:hideMark/>
          </w:tcPr>
          <w:p w14:paraId="1060CBD8" w14:textId="77777777" w:rsidR="00317A49" w:rsidRPr="00AD49D7" w:rsidRDefault="00317A49" w:rsidP="00700FB8">
            <w:pPr>
              <w:spacing w:after="0" w:line="240" w:lineRule="auto"/>
              <w:jc w:val="right"/>
              <w:rPr>
                <w:rFonts w:ascii="Calibri" w:eastAsia="Times New Roman" w:hAnsi="Calibri" w:cs="Calibri"/>
                <w:b/>
                <w:color w:val="000000"/>
              </w:rPr>
            </w:pPr>
            <w:r w:rsidRPr="00AD49D7">
              <w:rPr>
                <w:rFonts w:ascii="Calibri" w:eastAsia="Times New Roman" w:hAnsi="Calibri" w:cs="Calibri"/>
                <w:b/>
                <w:color w:val="000000"/>
              </w:rPr>
              <w:t>3</w:t>
            </w:r>
          </w:p>
        </w:tc>
        <w:tc>
          <w:tcPr>
            <w:tcW w:w="960" w:type="dxa"/>
            <w:tcBorders>
              <w:top w:val="nil"/>
              <w:left w:val="nil"/>
              <w:bottom w:val="nil"/>
              <w:right w:val="nil"/>
            </w:tcBorders>
            <w:shd w:val="clear" w:color="auto" w:fill="00CCFF"/>
            <w:noWrap/>
            <w:vAlign w:val="bottom"/>
            <w:hideMark/>
          </w:tcPr>
          <w:p w14:paraId="6C78D164" w14:textId="77777777" w:rsidR="00317A49" w:rsidRPr="00AD49D7" w:rsidRDefault="00317A49" w:rsidP="00700FB8">
            <w:pPr>
              <w:spacing w:after="0" w:line="240" w:lineRule="auto"/>
              <w:jc w:val="right"/>
              <w:rPr>
                <w:rFonts w:ascii="Calibri" w:eastAsia="Times New Roman" w:hAnsi="Calibri" w:cs="Calibri"/>
                <w:b/>
                <w:color w:val="000000"/>
              </w:rPr>
            </w:pPr>
            <w:r w:rsidRPr="00AD49D7">
              <w:rPr>
                <w:rFonts w:ascii="Calibri" w:eastAsia="Times New Roman" w:hAnsi="Calibri" w:cs="Calibri"/>
                <w:b/>
                <w:color w:val="000000"/>
              </w:rPr>
              <w:t>3</w:t>
            </w:r>
          </w:p>
        </w:tc>
      </w:tr>
    </w:tbl>
    <w:p w14:paraId="6727C039" w14:textId="78FF6793" w:rsidR="00317A49" w:rsidRDefault="00317A49" w:rsidP="00317A49">
      <w:pPr>
        <w:pStyle w:val="Caption"/>
      </w:pPr>
      <w:bookmarkStart w:id="26" w:name="_Toc532165389"/>
      <w:r>
        <w:t xml:space="preserve">Table </w:t>
      </w:r>
      <w:r w:rsidR="00461074">
        <w:rPr>
          <w:noProof/>
        </w:rPr>
        <w:fldChar w:fldCharType="begin"/>
      </w:r>
      <w:r w:rsidR="00461074">
        <w:rPr>
          <w:noProof/>
        </w:rPr>
        <w:instrText xml:space="preserve"> SEQ Table \* ARABIC </w:instrText>
      </w:r>
      <w:r w:rsidR="00461074">
        <w:rPr>
          <w:noProof/>
        </w:rPr>
        <w:fldChar w:fldCharType="separate"/>
      </w:r>
      <w:r w:rsidR="00121B40">
        <w:rPr>
          <w:noProof/>
        </w:rPr>
        <w:t>4</w:t>
      </w:r>
      <w:r w:rsidR="00461074">
        <w:rPr>
          <w:noProof/>
        </w:rPr>
        <w:fldChar w:fldCharType="end"/>
      </w:r>
      <w:r>
        <w:t>: Document produce through these interactions</w:t>
      </w:r>
      <w:bookmarkEnd w:id="26"/>
    </w:p>
    <w:p w14:paraId="779CE8AD" w14:textId="72705D27" w:rsidR="00E32985" w:rsidRDefault="00E32985">
      <w:pPr>
        <w:rPr>
          <w:rFonts w:asciiTheme="majorHAnsi" w:eastAsiaTheme="majorEastAsia" w:hAnsiTheme="majorHAnsi" w:cstheme="majorBidi"/>
          <w:color w:val="365F91" w:themeColor="accent1" w:themeShade="BF"/>
          <w:sz w:val="26"/>
          <w:szCs w:val="26"/>
          <w:highlight w:val="lightGray"/>
        </w:rPr>
      </w:pPr>
      <w:r>
        <w:t xml:space="preserve">The lesson learned through each implementation phases </w:t>
      </w:r>
      <w:proofErr w:type="gramStart"/>
      <w:r>
        <w:t>were documented</w:t>
      </w:r>
      <w:proofErr w:type="gramEnd"/>
      <w:r>
        <w:t xml:space="preserve"> in case studies or updated guidelines to facilitate the process for other cities. The benchmarking process generated over 130 documents, including the 10 national </w:t>
      </w:r>
      <w:proofErr w:type="spellStart"/>
      <w:r>
        <w:t>ressources</w:t>
      </w:r>
      <w:proofErr w:type="spellEnd"/>
      <w:r>
        <w:t xml:space="preserve"> that our team created for the better building. </w:t>
      </w:r>
      <w:bookmarkStart w:id="27" w:name="_GoBack"/>
      <w:bookmarkEnd w:id="27"/>
      <w:r>
        <w:rPr>
          <w:highlight w:val="lightGray"/>
        </w:rPr>
        <w:br w:type="page"/>
      </w:r>
    </w:p>
    <w:p w14:paraId="7AFE23DB" w14:textId="0E918FAC" w:rsidR="00AB375B" w:rsidRPr="00C90248" w:rsidRDefault="00E32985" w:rsidP="00121B40">
      <w:pPr>
        <w:pStyle w:val="Heading2"/>
      </w:pPr>
      <w:bookmarkStart w:id="28" w:name="_Toc532200750"/>
      <w:proofErr w:type="gramStart"/>
      <w:r>
        <w:lastRenderedPageBreak/>
        <w:t>H2</w:t>
      </w:r>
      <w:r w:rsidR="002E24C0">
        <w:t xml:space="preserve"> </w:t>
      </w:r>
      <w:r w:rsidR="00CF7515">
        <w:t>:</w:t>
      </w:r>
      <w:proofErr w:type="gramEnd"/>
      <w:r w:rsidR="00AB375B" w:rsidRPr="00AB375B">
        <w:t xml:space="preserve"> </w:t>
      </w:r>
      <w:r w:rsidR="00AB375B" w:rsidRPr="00C90248">
        <w:t xml:space="preserve">increased overall </w:t>
      </w:r>
      <w:r>
        <w:t>Energy Efficiency</w:t>
      </w:r>
      <w:r w:rsidR="00AB375B" w:rsidRPr="00C90248">
        <w:t xml:space="preserve"> initiatives</w:t>
      </w:r>
      <w:bookmarkEnd w:id="28"/>
    </w:p>
    <w:p w14:paraId="66DD643A" w14:textId="3784534B" w:rsidR="00CF7515" w:rsidRDefault="00CF7515" w:rsidP="00AB375B"/>
    <w:p w14:paraId="7E9A38A3" w14:textId="3EEAD58A" w:rsidR="00A013D2" w:rsidRPr="00A013D2" w:rsidRDefault="00A013D2" w:rsidP="00AB375B">
      <w:pPr>
        <w:rPr>
          <w:b/>
        </w:rPr>
      </w:pPr>
      <w:r w:rsidRPr="00A013D2">
        <w:rPr>
          <w:b/>
        </w:rPr>
        <w:t>Benchmarking and Transparency ordinances build</w:t>
      </w:r>
      <w:r w:rsidR="00AB375B" w:rsidRPr="00A013D2">
        <w:rPr>
          <w:b/>
        </w:rPr>
        <w:t xml:space="preserve"> a momentum for energy efficiency</w:t>
      </w:r>
      <w:r w:rsidRPr="00A013D2">
        <w:rPr>
          <w:b/>
        </w:rPr>
        <w:t xml:space="preserve"> and sustainability </w:t>
      </w:r>
      <w:proofErr w:type="spellStart"/>
      <w:r w:rsidRPr="00A013D2">
        <w:rPr>
          <w:b/>
        </w:rPr>
        <w:t>intitiatives</w:t>
      </w:r>
      <w:proofErr w:type="spellEnd"/>
      <w:r w:rsidRPr="00A013D2">
        <w:rPr>
          <w:b/>
        </w:rPr>
        <w:t>.</w:t>
      </w:r>
    </w:p>
    <w:p w14:paraId="44A23E45" w14:textId="77777777" w:rsidR="00A013D2" w:rsidRDefault="00A013D2" w:rsidP="00AB375B"/>
    <w:p w14:paraId="6A7C438D" w14:textId="7BBA869A" w:rsidR="00AB375B" w:rsidRDefault="00A013D2" w:rsidP="00AB375B">
      <w:r>
        <w:t xml:space="preserve">After having </w:t>
      </w:r>
      <w:proofErr w:type="gramStart"/>
      <w:r>
        <w:t xml:space="preserve">shown </w:t>
      </w:r>
      <w:r w:rsidR="00AB375B">
        <w:t xml:space="preserve"> </w:t>
      </w:r>
      <w:r>
        <w:t>that</w:t>
      </w:r>
      <w:proofErr w:type="gramEnd"/>
      <w:r>
        <w:t xml:space="preserve"> benchmarking increased engagements, I will explore if it participated in creating a momentum for energy efficiency, </w:t>
      </w:r>
      <w:r w:rsidR="00AB375B">
        <w:t>which had been lagging since the first year that IPCC stated the need for building</w:t>
      </w:r>
      <w:r>
        <w:t>s</w:t>
      </w:r>
      <w:r w:rsidR="00FA0664">
        <w:t xml:space="preserve"> to be better user of energy re</w:t>
      </w:r>
      <w:r w:rsidR="00AB375B">
        <w:t>sources.</w:t>
      </w:r>
    </w:p>
    <w:p w14:paraId="6C62C69A" w14:textId="441915AA" w:rsidR="00B868CD" w:rsidRDefault="00B868CD" w:rsidP="00B868CD">
      <w:pPr>
        <w:pStyle w:val="Heading3"/>
      </w:pPr>
      <w:r>
        <w:t>Methodology:</w:t>
      </w:r>
    </w:p>
    <w:p w14:paraId="1160F7DC" w14:textId="5108955D" w:rsidR="00CF3BE2" w:rsidRPr="00CF3BE2" w:rsidRDefault="00CF3BE2" w:rsidP="00CF3BE2">
      <w:pPr>
        <w:pStyle w:val="Heading4"/>
      </w:pPr>
      <w:r>
        <w:t>Data collection</w:t>
      </w:r>
    </w:p>
    <w:p w14:paraId="0F71BD1F" w14:textId="168225BA" w:rsidR="00B868CD" w:rsidRDefault="00192B20" w:rsidP="00B868CD">
      <w:r>
        <w:t>We have colle</w:t>
      </w:r>
      <w:r w:rsidR="00E32985">
        <w:t>ct</w:t>
      </w:r>
      <w:r>
        <w:t>ed</w:t>
      </w:r>
      <w:r w:rsidR="00E32985">
        <w:t xml:space="preserve"> i</w:t>
      </w:r>
      <w:r w:rsidR="00B868CD">
        <w:t>nformation related to improving energy efficiency in 98 cities</w:t>
      </w:r>
      <w:r w:rsidR="00E32985">
        <w:t>. The</w:t>
      </w:r>
      <w:r w:rsidR="00B868CD">
        <w:t>s</w:t>
      </w:r>
      <w:r w:rsidR="00E32985">
        <w:t>e</w:t>
      </w:r>
      <w:r w:rsidR="00B868CD">
        <w:t xml:space="preserve"> efforts include:</w:t>
      </w:r>
    </w:p>
    <w:p w14:paraId="0DC3D21D" w14:textId="27CEA221" w:rsidR="00B868CD" w:rsidRDefault="00B868CD" w:rsidP="00FA0664">
      <w:pPr>
        <w:pStyle w:val="ListParagraph"/>
        <w:numPr>
          <w:ilvl w:val="0"/>
          <w:numId w:val="8"/>
        </w:numPr>
      </w:pPr>
      <w:proofErr w:type="gramStart"/>
      <w:r>
        <w:t>voluntary</w:t>
      </w:r>
      <w:proofErr w:type="gramEnd"/>
      <w:r>
        <w:t xml:space="preserve"> programs for building owners such as 2030 district or Energy competitions with an energy reduction target over a set amount of time.</w:t>
      </w:r>
    </w:p>
    <w:p w14:paraId="3D2E8250" w14:textId="50CFC0CD" w:rsidR="006C6476" w:rsidRPr="00FA0664" w:rsidRDefault="006C6476" w:rsidP="00FA0664">
      <w:pPr>
        <w:pStyle w:val="ListParagraph"/>
        <w:numPr>
          <w:ilvl w:val="0"/>
          <w:numId w:val="8"/>
        </w:numPr>
      </w:pPr>
      <w:r>
        <w:t>Involvement: participation of the local government in a national or international network</w:t>
      </w:r>
      <w:r w:rsidR="00A013D2">
        <w:t>s</w:t>
      </w:r>
      <w:r>
        <w:t xml:space="preserve"> for which energy efficiency is a focus such as City Energy Project, </w:t>
      </w:r>
      <w:r w:rsidR="00FA0664">
        <w:t>Urban Sustainability Director Network,</w:t>
      </w:r>
      <w:r w:rsidR="00FA0664" w:rsidRPr="00FA0664">
        <w:rPr>
          <w:rFonts w:ascii="Arial" w:hAnsi="Arial" w:cs="Arial"/>
          <w:color w:val="545454"/>
          <w:shd w:val="clear" w:color="auto" w:fill="FFFFFF"/>
        </w:rPr>
        <w:t xml:space="preserve"> </w:t>
      </w:r>
      <w:r w:rsidR="00FA0664" w:rsidRPr="00FA0664">
        <w:t>International Council for Local Environmental Initiatives,</w:t>
      </w:r>
      <w:r w:rsidR="00FA0664">
        <w:t xml:space="preserve"> C40, 100 resilient cities, American Cities Climate Challenge</w:t>
      </w:r>
      <w:r w:rsidR="00FA0664" w:rsidRPr="00FA0664">
        <w:t>.</w:t>
      </w:r>
    </w:p>
    <w:p w14:paraId="1A9925DC" w14:textId="5AE28BD4" w:rsidR="00B868CD" w:rsidRDefault="00B868CD" w:rsidP="00FA0664">
      <w:pPr>
        <w:pStyle w:val="ListParagraph"/>
        <w:numPr>
          <w:ilvl w:val="0"/>
          <w:numId w:val="8"/>
        </w:numPr>
      </w:pPr>
      <w:r>
        <w:t>Internal municipal goal</w:t>
      </w:r>
      <w:r w:rsidR="00A013D2">
        <w:t>s</w:t>
      </w:r>
      <w:r>
        <w:t xml:space="preserve"> of energy improvement on the cities owned facilities</w:t>
      </w:r>
    </w:p>
    <w:p w14:paraId="685DA509" w14:textId="1EE30E4C" w:rsidR="00B868CD" w:rsidRDefault="00B868CD" w:rsidP="00FA0664">
      <w:pPr>
        <w:pStyle w:val="ListParagraph"/>
        <w:numPr>
          <w:ilvl w:val="0"/>
          <w:numId w:val="8"/>
        </w:numPr>
      </w:pPr>
      <w:r>
        <w:t xml:space="preserve">Policies : benchmarking transparency, retro-commissioning, </w:t>
      </w:r>
      <w:r w:rsidR="006C6476">
        <w:t xml:space="preserve">auditing, lighting upgrade, </w:t>
      </w:r>
      <w:proofErr w:type="spellStart"/>
      <w:r w:rsidR="006C6476">
        <w:t>etc</w:t>
      </w:r>
      <w:proofErr w:type="spellEnd"/>
    </w:p>
    <w:p w14:paraId="565AF769" w14:textId="7F2D2BAA" w:rsidR="00C90248" w:rsidRDefault="006C6476" w:rsidP="00C90248">
      <w:pPr>
        <w:pStyle w:val="ListParagraph"/>
        <w:numPr>
          <w:ilvl w:val="0"/>
          <w:numId w:val="8"/>
        </w:numPr>
      </w:pPr>
      <w:r>
        <w:t>Incentives for increased efficiency in new construc</w:t>
      </w:r>
      <w:r w:rsidR="00A013D2">
        <w:t>tion: zoning bonuses, fees waivers or discounts</w:t>
      </w:r>
      <w:r>
        <w:t>, expedite process</w:t>
      </w:r>
      <w:r w:rsidR="00A013D2">
        <w:t>, etc.</w:t>
      </w:r>
    </w:p>
    <w:p w14:paraId="7AD25806" w14:textId="56B3D367" w:rsidR="00C90248" w:rsidRDefault="00192B20" w:rsidP="00C90248">
      <w:r>
        <w:t xml:space="preserve">Currently </w:t>
      </w:r>
      <w:r w:rsidR="00C90248" w:rsidRPr="00C90248">
        <w:t>4,508</w:t>
      </w:r>
      <w:r w:rsidR="00FA0664">
        <w:t xml:space="preserve"> data points have been collected for this database</w:t>
      </w:r>
      <w:r w:rsidR="00FE27AC">
        <w:t xml:space="preserve"> which is build and expended </w:t>
      </w:r>
      <w:proofErr w:type="gramStart"/>
      <w:r w:rsidR="00FE27AC">
        <w:t>upon  information</w:t>
      </w:r>
      <w:proofErr w:type="gramEnd"/>
      <w:r w:rsidR="00FE27AC">
        <w:t xml:space="preserve"> available in the DSIRE database from North Carolina Clean Energy center and funded by DOE.</w:t>
      </w:r>
      <w:r>
        <w:t xml:space="preserve"> </w:t>
      </w:r>
    </w:p>
    <w:p w14:paraId="4BC1EF0F" w14:textId="34935F8B" w:rsidR="00FE27AC" w:rsidRDefault="00FE27AC" w:rsidP="00CF3BE2">
      <w:pPr>
        <w:pStyle w:val="Heading4"/>
      </w:pPr>
      <w:r>
        <w:t>Pre-post Analysis</w:t>
      </w:r>
    </w:p>
    <w:p w14:paraId="0076E32D" w14:textId="420FF233" w:rsidR="00FA0664" w:rsidRDefault="00FE27AC" w:rsidP="00C90248">
      <w:r>
        <w:t>This new</w:t>
      </w:r>
      <w:r w:rsidR="00FA0664">
        <w:t xml:space="preserve"> dataset </w:t>
      </w:r>
      <w:proofErr w:type="gramStart"/>
      <w:r w:rsidR="00FA0664">
        <w:t xml:space="preserve">will be </w:t>
      </w:r>
      <w:r w:rsidR="00317A49">
        <w:t>analyzed</w:t>
      </w:r>
      <w:proofErr w:type="gramEnd"/>
      <w:r w:rsidR="00FA0664">
        <w:t xml:space="preserve"> to evaluate if the participation or implementation of additional program</w:t>
      </w:r>
      <w:r w:rsidR="00317A49">
        <w:t>s</w:t>
      </w:r>
      <w:r w:rsidR="00FA0664">
        <w:t xml:space="preserve"> significantly </w:t>
      </w:r>
      <w:r>
        <w:t>correlated with</w:t>
      </w:r>
      <w:r w:rsidR="00FA0664">
        <w:t xml:space="preserve"> enacting an ordinance. </w:t>
      </w:r>
    </w:p>
    <w:p w14:paraId="78CB69DD" w14:textId="4A3B2673" w:rsidR="00FE27AC" w:rsidRDefault="00FE27AC" w:rsidP="00CF3BE2">
      <w:pPr>
        <w:pStyle w:val="Heading4"/>
      </w:pPr>
      <w:r>
        <w:t>Comparative Analysis</w:t>
      </w:r>
    </w:p>
    <w:p w14:paraId="111FC4AC" w14:textId="1612E738" w:rsidR="00FA0664" w:rsidRDefault="00FA0664" w:rsidP="00C90248">
      <w:r>
        <w:t xml:space="preserve">The number of initiatives </w:t>
      </w:r>
      <w:proofErr w:type="gramStart"/>
      <w:r>
        <w:t>will also be compared</w:t>
      </w:r>
      <w:proofErr w:type="gramEnd"/>
      <w:r>
        <w:t xml:space="preserve"> </w:t>
      </w:r>
      <w:r w:rsidR="00522A37">
        <w:t>between cities with and</w:t>
      </w:r>
      <w:r w:rsidR="00FE27AC">
        <w:t xml:space="preserve"> without</w:t>
      </w:r>
      <w:r>
        <w:t xml:space="preserve">. </w:t>
      </w:r>
      <w:r w:rsidR="00FE27AC">
        <w:t>Cities with benchmarking o</w:t>
      </w:r>
      <w:r>
        <w:t xml:space="preserve">rdinance </w:t>
      </w:r>
      <w:proofErr w:type="gramStart"/>
      <w:r>
        <w:t>will be paired</w:t>
      </w:r>
      <w:proofErr w:type="gramEnd"/>
      <w:r>
        <w:t xml:space="preserve"> with similar American cities that have not yet passed an ordinance to find statistically significant diff</w:t>
      </w:r>
      <w:r w:rsidR="00A013D2">
        <w:t>erences correlated to the enact</w:t>
      </w:r>
      <w:r>
        <w:t>ment of an ordinance.</w:t>
      </w:r>
    </w:p>
    <w:p w14:paraId="113DD954" w14:textId="55AB015D" w:rsidR="00FA0664" w:rsidRDefault="00522A37" w:rsidP="00C90248">
      <w:r>
        <w:t>For this analysis</w:t>
      </w:r>
      <w:proofErr w:type="gramStart"/>
      <w:r>
        <w:t>,  c</w:t>
      </w:r>
      <w:r w:rsidR="00FE27AC">
        <w:t>ities</w:t>
      </w:r>
      <w:proofErr w:type="gramEnd"/>
      <w:r w:rsidR="00FE27AC">
        <w:t xml:space="preserve"> can</w:t>
      </w:r>
      <w:r w:rsidR="00FA0664">
        <w:t xml:space="preserve"> be paired according to the following criteria:</w:t>
      </w:r>
    </w:p>
    <w:p w14:paraId="265D08AA" w14:textId="77777777" w:rsidR="00FA0664" w:rsidRDefault="00FA0664" w:rsidP="00FA0664">
      <w:pPr>
        <w:pStyle w:val="ListParagraph"/>
        <w:numPr>
          <w:ilvl w:val="0"/>
          <w:numId w:val="9"/>
        </w:numPr>
      </w:pPr>
      <w:r>
        <w:lastRenderedPageBreak/>
        <w:t>Climate zone</w:t>
      </w:r>
    </w:p>
    <w:p w14:paraId="1557FD93" w14:textId="63D1F894" w:rsidR="00FA0664" w:rsidRDefault="00FA0664" w:rsidP="00FA0664">
      <w:pPr>
        <w:pStyle w:val="ListParagraph"/>
        <w:numPr>
          <w:ilvl w:val="0"/>
          <w:numId w:val="9"/>
        </w:numPr>
      </w:pPr>
      <w:r>
        <w:t>Age of the building stock</w:t>
      </w:r>
    </w:p>
    <w:p w14:paraId="093A2CF2" w14:textId="382A64C8" w:rsidR="00FA0664" w:rsidRDefault="00FA0664" w:rsidP="00FA0664">
      <w:pPr>
        <w:pStyle w:val="ListParagraph"/>
        <w:numPr>
          <w:ilvl w:val="0"/>
          <w:numId w:val="9"/>
        </w:numPr>
      </w:pPr>
      <w:r>
        <w:t>GDP</w:t>
      </w:r>
    </w:p>
    <w:p w14:paraId="4D693149" w14:textId="320B8B6A" w:rsidR="00FA0664" w:rsidRDefault="00FA0664" w:rsidP="00FA0664">
      <w:pPr>
        <w:pStyle w:val="ListParagraph"/>
        <w:numPr>
          <w:ilvl w:val="0"/>
          <w:numId w:val="9"/>
        </w:numPr>
      </w:pPr>
      <w:r>
        <w:t>Population size</w:t>
      </w:r>
    </w:p>
    <w:p w14:paraId="7FF02F0E" w14:textId="26028570" w:rsidR="00FA0664" w:rsidRDefault="00FA0664" w:rsidP="00FA0664">
      <w:r>
        <w:t>Additional factor</w:t>
      </w:r>
      <w:r w:rsidR="00D43CA1">
        <w:t>s</w:t>
      </w:r>
      <w:r>
        <w:t xml:space="preserve"> to </w:t>
      </w:r>
      <w:proofErr w:type="gramStart"/>
      <w:r>
        <w:t>be considered</w:t>
      </w:r>
      <w:proofErr w:type="gramEnd"/>
      <w:r>
        <w:t xml:space="preserve"> for pairing are:</w:t>
      </w:r>
    </w:p>
    <w:p w14:paraId="384238D0" w14:textId="36C8CC9C" w:rsidR="00FA0664" w:rsidRDefault="00FA0664" w:rsidP="00FA0664">
      <w:pPr>
        <w:pStyle w:val="ListParagraph"/>
        <w:numPr>
          <w:ilvl w:val="0"/>
          <w:numId w:val="10"/>
        </w:numPr>
      </w:pPr>
      <w:r>
        <w:t>Main economical driver</w:t>
      </w:r>
    </w:p>
    <w:p w14:paraId="505E3CBC" w14:textId="1C371091" w:rsidR="00FA0664" w:rsidRDefault="00FA0664" w:rsidP="00FA0664">
      <w:pPr>
        <w:pStyle w:val="ListParagraph"/>
        <w:numPr>
          <w:ilvl w:val="0"/>
          <w:numId w:val="10"/>
        </w:numPr>
      </w:pPr>
      <w:r>
        <w:t>Political leadership affiliation</w:t>
      </w:r>
    </w:p>
    <w:p w14:paraId="07834EDD" w14:textId="27353968" w:rsidR="00D43CA1" w:rsidRDefault="00D43CA1" w:rsidP="00FA0664">
      <w:pPr>
        <w:pStyle w:val="ListParagraph"/>
        <w:numPr>
          <w:ilvl w:val="0"/>
          <w:numId w:val="10"/>
        </w:numPr>
      </w:pPr>
      <w:r>
        <w:t>Average income</w:t>
      </w:r>
    </w:p>
    <w:p w14:paraId="3FE811E3" w14:textId="11790D1E" w:rsidR="00D43CA1" w:rsidRPr="00C90248" w:rsidRDefault="00D43CA1" w:rsidP="00FA0664">
      <w:pPr>
        <w:pStyle w:val="ListParagraph"/>
        <w:numPr>
          <w:ilvl w:val="0"/>
          <w:numId w:val="10"/>
        </w:numPr>
      </w:pPr>
      <w:r>
        <w:t>Diversity ratio</w:t>
      </w:r>
    </w:p>
    <w:p w14:paraId="4A0A9DB7" w14:textId="19F6130E" w:rsidR="0071080A" w:rsidRPr="00DB3844" w:rsidRDefault="00FE27AC" w:rsidP="0071080A">
      <w:pPr>
        <w:pStyle w:val="Heading3"/>
        <w:spacing w:line="360" w:lineRule="auto"/>
      </w:pPr>
      <w:r>
        <w:t xml:space="preserve">Preliminary findings: Higher participation in national network </w:t>
      </w:r>
    </w:p>
    <w:p w14:paraId="3FEF77FC" w14:textId="560D5C0B" w:rsidR="00A013D2" w:rsidRDefault="00A013D2" w:rsidP="00A013D2">
      <w:r>
        <w:t xml:space="preserve">The following networks </w:t>
      </w:r>
      <w:proofErr w:type="gramStart"/>
      <w:r>
        <w:t>have been created</w:t>
      </w:r>
      <w:proofErr w:type="gramEnd"/>
      <w:r>
        <w:t xml:space="preserve"> to support benchmarking and transparency effort specifically or are a broader network with a working groups focusing on benchmarking.</w:t>
      </w:r>
    </w:p>
    <w:p w14:paraId="2472A92F" w14:textId="4560742A" w:rsidR="00814B37" w:rsidRDefault="00814B37" w:rsidP="00CF3BE2">
      <w:pPr>
        <w:pStyle w:val="Heading4"/>
      </w:pPr>
      <w:r>
        <w:t>2030 Districts</w:t>
      </w:r>
    </w:p>
    <w:p w14:paraId="02B23EAF" w14:textId="77777777" w:rsidR="00CF3BE2" w:rsidRDefault="00CF3BE2" w:rsidP="00CF3BE2">
      <w:proofErr w:type="gramStart"/>
      <w:r w:rsidRPr="00CF3BE2">
        <w:t>2030</w:t>
      </w:r>
      <w:proofErr w:type="gramEnd"/>
      <w:r w:rsidRPr="00CF3BE2">
        <w:t xml:space="preserve"> districts are meeting incremental reduction targets for new and existing buildings set by the 2030 challenge for planning, which was issued by architecture 2030, a non-profit organization committed to transforming the built environment from a major contributor of greenhouse gas emissions to a central part of the climate crisis.</w:t>
      </w:r>
    </w:p>
    <w:p w14:paraId="20554DE5" w14:textId="3D22FF8B" w:rsidR="00814B37" w:rsidRPr="00814B37" w:rsidRDefault="00814B37" w:rsidP="00CF3BE2">
      <w:proofErr w:type="gramStart"/>
      <w:r w:rsidRPr="00CF3BE2">
        <w:t>2030</w:t>
      </w:r>
      <w:proofErr w:type="gramEnd"/>
      <w:r w:rsidRPr="00814B37">
        <w:t xml:space="preserve"> Districts are led by the private sector, with local building industry leaders uniting around a shared vision for sust</w:t>
      </w:r>
      <w:r w:rsidR="00CF3BE2">
        <w:t>ainability and economic growth,</w:t>
      </w:r>
      <w:r w:rsidRPr="00814B37">
        <w:t xml:space="preserve"> while aligning with local community groups and government to achieve significant energy, water, and emissions reductions within our commercial cores.</w:t>
      </w:r>
    </w:p>
    <w:p w14:paraId="0D76D8CF" w14:textId="4838A3C4" w:rsidR="0071080A" w:rsidRPr="00925D63" w:rsidRDefault="0071080A" w:rsidP="00FE27AC">
      <w:pPr>
        <w:pStyle w:val="Heading4"/>
      </w:pPr>
      <w:r>
        <w:t>Better Building Energy Data Accelerator</w:t>
      </w:r>
    </w:p>
    <w:p w14:paraId="23684701" w14:textId="6BD98253" w:rsidR="0071080A" w:rsidRDefault="0071080A" w:rsidP="00FE27AC">
      <w:r w:rsidRPr="00925D63">
        <w:t xml:space="preserve">The difficulties to collect </w:t>
      </w:r>
      <w:proofErr w:type="gramStart"/>
      <w:r w:rsidRPr="00925D63">
        <w:t>whole</w:t>
      </w:r>
      <w:proofErr w:type="gramEnd"/>
      <w:r w:rsidRPr="00925D63">
        <w:t xml:space="preserve"> building data led the Department of Energy to create the Better Building Energy Data accelerator announced on December 2013. </w:t>
      </w:r>
      <w:r w:rsidRPr="00D66CB8">
        <w:t xml:space="preserve">Through the Better Buildings Energy Data Accelerator (EDA), local governments and utilities joined forces to make whole-building energy data access easier for building owners to benchmark their buildings. Over the span of two years, the experiences and best practices discussed and deployed by EDA Partners </w:t>
      </w:r>
      <w:proofErr w:type="gramStart"/>
      <w:r w:rsidRPr="00D66CB8">
        <w:t>have been distilled</w:t>
      </w:r>
      <w:proofErr w:type="gramEnd"/>
      <w:r w:rsidRPr="00D66CB8">
        <w:t xml:space="preserve"> into a toolkit of resources designed to guide local governments, utilities, and other stakeholders that may seek to design a whole-building data access solution in their jurisdictions. </w:t>
      </w:r>
    </w:p>
    <w:p w14:paraId="0E4BF036" w14:textId="77777777" w:rsidR="00CF3BE2" w:rsidRPr="00CF3BE2" w:rsidRDefault="00CF3BE2" w:rsidP="00CF3BE2">
      <w:pPr>
        <w:pStyle w:val="Heading4"/>
      </w:pPr>
      <w:r w:rsidRPr="00CF3BE2">
        <w:t>ICLEI - Local Governments for Sustainability</w:t>
      </w:r>
    </w:p>
    <w:p w14:paraId="124B10C0" w14:textId="3158206D" w:rsidR="00CF3BE2" w:rsidRPr="00CF3BE2" w:rsidRDefault="00CF3BE2" w:rsidP="00CF3BE2">
      <w:r w:rsidRPr="00CF3BE2">
        <w:t xml:space="preserve">ICLEI is the leading global network of 1,500+ cities, towns and regions committed to building a </w:t>
      </w:r>
      <w:r>
        <w:t>sustainable future. </w:t>
      </w:r>
      <w:r>
        <w:br/>
        <w:t>Through this</w:t>
      </w:r>
      <w:r w:rsidRPr="00CF3BE2">
        <w:t xml:space="preserve"> collective efforts, more than 25 percent of the global urban population</w:t>
      </w:r>
      <w:r>
        <w:t>.</w:t>
      </w:r>
    </w:p>
    <w:p w14:paraId="29E1BDD9" w14:textId="0934D691" w:rsidR="00FE27AC" w:rsidRPr="00D66CB8" w:rsidRDefault="00FE27AC" w:rsidP="00FE27AC">
      <w:pPr>
        <w:pStyle w:val="Heading4"/>
      </w:pPr>
      <w:r>
        <w:t>City Energy Project</w:t>
      </w:r>
    </w:p>
    <w:p w14:paraId="7278C7FA" w14:textId="40A04CA5" w:rsidR="0071080A" w:rsidRDefault="0071080A" w:rsidP="00FE27AC">
      <w:r>
        <w:t xml:space="preserve">In parallel the non-profits Institute for Market Transformation and NRDC launched the City Energy Project in January </w:t>
      </w:r>
      <w:proofErr w:type="gramStart"/>
      <w:r>
        <w:t>2014  with</w:t>
      </w:r>
      <w:proofErr w:type="gramEnd"/>
      <w:r>
        <w:t xml:space="preserve"> a funding of $10Millions to </w:t>
      </w:r>
      <w:r w:rsidRPr="004C2B3F">
        <w:t xml:space="preserve"> create healthier, more prosperous American cities by making buildings more energy efficient, boosting local economies and reducing harmful pollution</w:t>
      </w:r>
      <w:r>
        <w:t xml:space="preserve">. Support to implement benchmarking ordinances in the enrolled cities was one of the main component of the project. The city Energy Project provided 10 cities with a staff person and additional expertise to actively </w:t>
      </w:r>
      <w:proofErr w:type="gramStart"/>
      <w:r>
        <w:t>engaged</w:t>
      </w:r>
      <w:proofErr w:type="gramEnd"/>
      <w:r>
        <w:t xml:space="preserve"> all stakeholder involved to accelerate adoption of benchmarking ordinance by equipping the cities with the necessary knowledge to address the perceived barriers.</w:t>
      </w:r>
    </w:p>
    <w:p w14:paraId="7EA18E53" w14:textId="6AB9C635" w:rsidR="00CF3BE2" w:rsidRDefault="00CF3BE2" w:rsidP="00CF3BE2">
      <w:pPr>
        <w:pStyle w:val="Heading4"/>
      </w:pPr>
      <w:r>
        <w:t>C40</w:t>
      </w:r>
    </w:p>
    <w:p w14:paraId="73F5C3BB" w14:textId="3E39398E" w:rsidR="00CF3BE2" w:rsidRPr="00CF3BE2" w:rsidRDefault="00CF3BE2" w:rsidP="00CF3BE2">
      <w:r w:rsidRPr="00CF3BE2">
        <w:t>Around the world, C40 Cities connects 96 of the world’s greatest cities to take bold climate action, leading the way towards a healthier and more sustainable future. Representing 700+ million citizens and one quarter of the global economy, mayors of the C40 cities are committed to delivering on the most ambitious goals of the Paris Agreement at the local level, as well as to cleaning the air we breathe</w:t>
      </w:r>
    </w:p>
    <w:p w14:paraId="7EA9B37A" w14:textId="69D4A8B1" w:rsidR="00B213E3" w:rsidRDefault="00CF3BE2" w:rsidP="00CF3BE2">
      <w:pPr>
        <w:pStyle w:val="Heading4"/>
      </w:pPr>
      <w:r>
        <w:t>100 Resilient Cities</w:t>
      </w:r>
    </w:p>
    <w:p w14:paraId="1E5875B4" w14:textId="6A476434" w:rsidR="00CF3BE2" w:rsidRPr="00CF3BE2" w:rsidRDefault="00CF3BE2" w:rsidP="00CF3BE2">
      <w:proofErr w:type="gramStart"/>
      <w:r w:rsidRPr="00CF3BE2">
        <w:t>100</w:t>
      </w:r>
      <w:proofErr w:type="gramEnd"/>
      <w:r w:rsidRPr="00CF3BE2">
        <w:t xml:space="preserve"> Resilient Cities (100RC) is dedicated to helping cities around the world become more resilient to the physical, social and economic challenges that are a growing part of the 21st century.</w:t>
      </w:r>
    </w:p>
    <w:p w14:paraId="4D529A8C" w14:textId="77777777" w:rsidR="00CF3BE2" w:rsidRDefault="00CF3BE2" w:rsidP="00FE27AC"/>
    <w:tbl>
      <w:tblPr>
        <w:tblStyle w:val="PlainTable3"/>
        <w:tblW w:w="10093" w:type="dxa"/>
        <w:tblLook w:val="04A0" w:firstRow="1" w:lastRow="0" w:firstColumn="1" w:lastColumn="0" w:noHBand="0" w:noVBand="1"/>
      </w:tblPr>
      <w:tblGrid>
        <w:gridCol w:w="2140"/>
        <w:gridCol w:w="1233"/>
        <w:gridCol w:w="960"/>
        <w:gridCol w:w="960"/>
        <w:gridCol w:w="960"/>
        <w:gridCol w:w="960"/>
        <w:gridCol w:w="960"/>
        <w:gridCol w:w="1480"/>
        <w:gridCol w:w="440"/>
      </w:tblGrid>
      <w:tr w:rsidR="00B213E3" w:rsidRPr="00B213E3" w14:paraId="783A125D" w14:textId="77777777" w:rsidTr="00814B3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140" w:type="dxa"/>
            <w:noWrap/>
            <w:hideMark/>
          </w:tcPr>
          <w:p w14:paraId="6BA5C1D5" w14:textId="2EEE0757" w:rsidR="00B213E3" w:rsidRPr="00B213E3" w:rsidRDefault="00B213E3" w:rsidP="00B213E3">
            <w:pPr>
              <w:rPr>
                <w:rFonts w:ascii="Calibri" w:eastAsia="Times New Roman" w:hAnsi="Calibri" w:cs="Calibri"/>
                <w:color w:val="000000"/>
              </w:rPr>
            </w:pPr>
            <w:r>
              <w:br w:type="page"/>
            </w:r>
            <w:r w:rsidRPr="00B213E3">
              <w:rPr>
                <w:rFonts w:ascii="Calibri" w:eastAsia="Times New Roman" w:hAnsi="Calibri" w:cs="Calibri"/>
                <w:color w:val="000000"/>
              </w:rPr>
              <w:t>City</w:t>
            </w:r>
          </w:p>
        </w:tc>
        <w:tc>
          <w:tcPr>
            <w:tcW w:w="1233" w:type="dxa"/>
            <w:noWrap/>
            <w:vAlign w:val="center"/>
            <w:hideMark/>
          </w:tcPr>
          <w:p w14:paraId="5109FC5E" w14:textId="77777777" w:rsidR="00B213E3" w:rsidRPr="00B213E3" w:rsidRDefault="00B213E3" w:rsidP="00814B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2030/ Date launched</w:t>
            </w:r>
          </w:p>
        </w:tc>
        <w:tc>
          <w:tcPr>
            <w:tcW w:w="960" w:type="dxa"/>
            <w:noWrap/>
            <w:vAlign w:val="center"/>
            <w:hideMark/>
          </w:tcPr>
          <w:p w14:paraId="072382E2" w14:textId="77777777" w:rsidR="00B213E3" w:rsidRPr="00B213E3" w:rsidRDefault="00B213E3" w:rsidP="00814B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EDA</w:t>
            </w:r>
          </w:p>
        </w:tc>
        <w:tc>
          <w:tcPr>
            <w:tcW w:w="960" w:type="dxa"/>
            <w:noWrap/>
            <w:vAlign w:val="center"/>
            <w:hideMark/>
          </w:tcPr>
          <w:p w14:paraId="7860DEAE" w14:textId="77777777" w:rsidR="00B213E3" w:rsidRPr="00B213E3" w:rsidRDefault="00B213E3" w:rsidP="00814B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ICLEI</w:t>
            </w:r>
          </w:p>
        </w:tc>
        <w:tc>
          <w:tcPr>
            <w:tcW w:w="960" w:type="dxa"/>
            <w:noWrap/>
            <w:vAlign w:val="center"/>
            <w:hideMark/>
          </w:tcPr>
          <w:p w14:paraId="374BBD76" w14:textId="77777777" w:rsidR="00B213E3" w:rsidRPr="00B213E3" w:rsidRDefault="00B213E3" w:rsidP="00814B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CEP</w:t>
            </w:r>
          </w:p>
        </w:tc>
        <w:tc>
          <w:tcPr>
            <w:tcW w:w="960" w:type="dxa"/>
            <w:noWrap/>
            <w:vAlign w:val="center"/>
            <w:hideMark/>
          </w:tcPr>
          <w:p w14:paraId="6FB02245" w14:textId="77777777" w:rsidR="00B213E3" w:rsidRPr="00B213E3" w:rsidRDefault="00B213E3" w:rsidP="00814B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C40</w:t>
            </w:r>
          </w:p>
        </w:tc>
        <w:tc>
          <w:tcPr>
            <w:tcW w:w="960" w:type="dxa"/>
            <w:noWrap/>
            <w:vAlign w:val="center"/>
            <w:hideMark/>
          </w:tcPr>
          <w:p w14:paraId="531F9911" w14:textId="77777777" w:rsidR="00B213E3" w:rsidRPr="00B213E3" w:rsidRDefault="00B213E3" w:rsidP="00814B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100RC</w:t>
            </w:r>
          </w:p>
        </w:tc>
        <w:tc>
          <w:tcPr>
            <w:tcW w:w="1920" w:type="dxa"/>
            <w:gridSpan w:val="2"/>
            <w:noWrap/>
            <w:hideMark/>
          </w:tcPr>
          <w:p w14:paraId="7E3FFF82" w14:textId="77777777" w:rsidR="00B213E3" w:rsidRPr="00B213E3" w:rsidRDefault="00B213E3" w:rsidP="00B213E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energy benchmarking</w:t>
            </w:r>
          </w:p>
        </w:tc>
      </w:tr>
      <w:tr w:rsidR="00814B37" w:rsidRPr="00B213E3" w14:paraId="46C204EB"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C6D9F1" w:themeFill="text2" w:themeFillTint="33"/>
            <w:noWrap/>
            <w:hideMark/>
          </w:tcPr>
          <w:p w14:paraId="66DF689A"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LOS ANGELES</w:t>
            </w:r>
          </w:p>
        </w:tc>
        <w:tc>
          <w:tcPr>
            <w:tcW w:w="1233" w:type="dxa"/>
            <w:shd w:val="clear" w:color="auto" w:fill="C6D9F1" w:themeFill="text2" w:themeFillTint="33"/>
            <w:noWrap/>
            <w:hideMark/>
          </w:tcPr>
          <w:p w14:paraId="23BCCEAA"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C6D9F1" w:themeFill="text2" w:themeFillTint="33"/>
            <w:noWrap/>
            <w:hideMark/>
          </w:tcPr>
          <w:p w14:paraId="1D5106C2" w14:textId="100667F4"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C6D9F1" w:themeFill="text2" w:themeFillTint="33"/>
            <w:noWrap/>
            <w:hideMark/>
          </w:tcPr>
          <w:p w14:paraId="487D0064" w14:textId="13736582"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C6D9F1" w:themeFill="text2" w:themeFillTint="33"/>
            <w:noWrap/>
            <w:hideMark/>
          </w:tcPr>
          <w:p w14:paraId="7E84D3D7"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C6D9F1" w:themeFill="text2" w:themeFillTint="33"/>
            <w:noWrap/>
            <w:hideMark/>
          </w:tcPr>
          <w:p w14:paraId="48BFE54D" w14:textId="0BAE55EF"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C470B">
              <w:rPr>
                <w:rFonts w:ascii="Calibri" w:eastAsia="Times New Roman" w:hAnsi="Calibri" w:cs="Calibri"/>
                <w:color w:val="000000"/>
              </w:rPr>
              <w:t>√</w:t>
            </w:r>
          </w:p>
        </w:tc>
        <w:tc>
          <w:tcPr>
            <w:tcW w:w="960" w:type="dxa"/>
            <w:shd w:val="clear" w:color="auto" w:fill="C6D9F1" w:themeFill="text2" w:themeFillTint="33"/>
            <w:noWrap/>
            <w:hideMark/>
          </w:tcPr>
          <w:p w14:paraId="04CCA11B" w14:textId="61D42935"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480" w:type="dxa"/>
            <w:shd w:val="clear" w:color="auto" w:fill="C6D9F1" w:themeFill="text2" w:themeFillTint="33"/>
            <w:noWrap/>
            <w:hideMark/>
          </w:tcPr>
          <w:p w14:paraId="394D2C07"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440" w:type="dxa"/>
            <w:shd w:val="clear" w:color="auto" w:fill="C6D9F1" w:themeFill="text2" w:themeFillTint="33"/>
            <w:noWrap/>
            <w:hideMark/>
          </w:tcPr>
          <w:p w14:paraId="609ECA41"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6</w:t>
            </w:r>
          </w:p>
        </w:tc>
      </w:tr>
      <w:tr w:rsidR="00814B37" w:rsidRPr="00B213E3" w14:paraId="788BE96D" w14:textId="77777777" w:rsidTr="00814B37">
        <w:trPr>
          <w:trHeight w:val="189"/>
        </w:trPr>
        <w:tc>
          <w:tcPr>
            <w:cnfStyle w:val="001000000000" w:firstRow="0" w:lastRow="0" w:firstColumn="1" w:lastColumn="0" w:oddVBand="0" w:evenVBand="0" w:oddHBand="0" w:evenHBand="0" w:firstRowFirstColumn="0" w:firstRowLastColumn="0" w:lastRowFirstColumn="0" w:lastRowLastColumn="0"/>
            <w:tcW w:w="2140" w:type="dxa"/>
            <w:shd w:val="clear" w:color="auto" w:fill="DBE5F1" w:themeFill="accent1" w:themeFillTint="33"/>
            <w:noWrap/>
            <w:hideMark/>
          </w:tcPr>
          <w:p w14:paraId="1C437507"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PHILADELPHIA</w:t>
            </w:r>
          </w:p>
        </w:tc>
        <w:tc>
          <w:tcPr>
            <w:tcW w:w="1233" w:type="dxa"/>
            <w:shd w:val="clear" w:color="auto" w:fill="DBE5F1" w:themeFill="accent1" w:themeFillTint="33"/>
            <w:noWrap/>
            <w:hideMark/>
          </w:tcPr>
          <w:p w14:paraId="62ED5639" w14:textId="16F33590"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r w:rsidRPr="00B213E3">
              <w:rPr>
                <w:rFonts w:ascii="Calibri" w:eastAsia="Times New Roman" w:hAnsi="Calibri" w:cs="Calibri"/>
                <w:color w:val="000000"/>
              </w:rPr>
              <w:t>05</w:t>
            </w:r>
          </w:p>
        </w:tc>
        <w:tc>
          <w:tcPr>
            <w:tcW w:w="960" w:type="dxa"/>
            <w:shd w:val="clear" w:color="auto" w:fill="DBE5F1" w:themeFill="accent1" w:themeFillTint="33"/>
            <w:noWrap/>
            <w:hideMark/>
          </w:tcPr>
          <w:p w14:paraId="4611A9E4" w14:textId="66544029"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DBE5F1" w:themeFill="accent1" w:themeFillTint="33"/>
            <w:noWrap/>
            <w:hideMark/>
          </w:tcPr>
          <w:p w14:paraId="2EAF59DC" w14:textId="0F64A7BB"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DBE5F1" w:themeFill="accent1" w:themeFillTint="33"/>
            <w:noWrap/>
            <w:hideMark/>
          </w:tcPr>
          <w:p w14:paraId="18171215"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DBE5F1" w:themeFill="accent1" w:themeFillTint="33"/>
            <w:noWrap/>
            <w:hideMark/>
          </w:tcPr>
          <w:p w14:paraId="481D7C35" w14:textId="7CF4957E"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C470B">
              <w:rPr>
                <w:rFonts w:ascii="Calibri" w:eastAsia="Times New Roman" w:hAnsi="Calibri" w:cs="Calibri"/>
                <w:color w:val="000000"/>
              </w:rPr>
              <w:t>√</w:t>
            </w:r>
          </w:p>
        </w:tc>
        <w:tc>
          <w:tcPr>
            <w:tcW w:w="960" w:type="dxa"/>
            <w:shd w:val="clear" w:color="auto" w:fill="DBE5F1" w:themeFill="accent1" w:themeFillTint="33"/>
            <w:noWrap/>
            <w:hideMark/>
          </w:tcPr>
          <w:p w14:paraId="2E32C928"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80" w:type="dxa"/>
            <w:shd w:val="clear" w:color="auto" w:fill="DBE5F1" w:themeFill="accent1" w:themeFillTint="33"/>
            <w:noWrap/>
            <w:hideMark/>
          </w:tcPr>
          <w:p w14:paraId="6D5BDD71"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2012</w:t>
            </w:r>
          </w:p>
        </w:tc>
        <w:tc>
          <w:tcPr>
            <w:tcW w:w="440" w:type="dxa"/>
            <w:shd w:val="clear" w:color="auto" w:fill="DBE5F1" w:themeFill="accent1" w:themeFillTint="33"/>
            <w:noWrap/>
            <w:hideMark/>
          </w:tcPr>
          <w:p w14:paraId="784B370D"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5</w:t>
            </w:r>
          </w:p>
        </w:tc>
      </w:tr>
      <w:tr w:rsidR="00814B37" w:rsidRPr="00B213E3" w14:paraId="5CC7C4F3"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2DBDB" w:themeFill="accent2" w:themeFillTint="33"/>
            <w:noWrap/>
            <w:hideMark/>
          </w:tcPr>
          <w:p w14:paraId="2A86F69B"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ATLANTA</w:t>
            </w:r>
          </w:p>
        </w:tc>
        <w:tc>
          <w:tcPr>
            <w:tcW w:w="1233" w:type="dxa"/>
            <w:shd w:val="clear" w:color="auto" w:fill="F2DBDB" w:themeFill="accent2" w:themeFillTint="33"/>
            <w:noWrap/>
            <w:hideMark/>
          </w:tcPr>
          <w:p w14:paraId="16AF6377"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618786D3" w14:textId="6D8E3A55"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F040B">
              <w:rPr>
                <w:rFonts w:ascii="Calibri" w:eastAsia="Times New Roman" w:hAnsi="Calibri" w:cs="Calibri"/>
                <w:color w:val="000000"/>
              </w:rPr>
              <w:t>√</w:t>
            </w:r>
          </w:p>
        </w:tc>
        <w:tc>
          <w:tcPr>
            <w:tcW w:w="960" w:type="dxa"/>
            <w:shd w:val="clear" w:color="auto" w:fill="F2DBDB" w:themeFill="accent2" w:themeFillTint="33"/>
            <w:noWrap/>
            <w:hideMark/>
          </w:tcPr>
          <w:p w14:paraId="274C2824" w14:textId="011A940E"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F040B">
              <w:rPr>
                <w:rFonts w:ascii="Calibri" w:eastAsia="Times New Roman" w:hAnsi="Calibri" w:cs="Calibri"/>
                <w:color w:val="000000"/>
              </w:rPr>
              <w:t>√</w:t>
            </w:r>
          </w:p>
        </w:tc>
        <w:tc>
          <w:tcPr>
            <w:tcW w:w="960" w:type="dxa"/>
            <w:shd w:val="clear" w:color="auto" w:fill="F2DBDB" w:themeFill="accent2" w:themeFillTint="33"/>
            <w:noWrap/>
            <w:hideMark/>
          </w:tcPr>
          <w:p w14:paraId="2FACBE9A"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960" w:type="dxa"/>
            <w:shd w:val="clear" w:color="auto" w:fill="F2DBDB" w:themeFill="accent2" w:themeFillTint="33"/>
            <w:noWrap/>
            <w:hideMark/>
          </w:tcPr>
          <w:p w14:paraId="1118E567"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03255087" w14:textId="2048CB8C"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43A4F">
              <w:rPr>
                <w:rFonts w:ascii="Calibri" w:eastAsia="Times New Roman" w:hAnsi="Calibri" w:cs="Calibri"/>
                <w:color w:val="000000"/>
              </w:rPr>
              <w:t>√</w:t>
            </w:r>
          </w:p>
        </w:tc>
        <w:tc>
          <w:tcPr>
            <w:tcW w:w="1480" w:type="dxa"/>
            <w:shd w:val="clear" w:color="auto" w:fill="F2DBDB" w:themeFill="accent2" w:themeFillTint="33"/>
            <w:noWrap/>
            <w:hideMark/>
          </w:tcPr>
          <w:p w14:paraId="498EEFAF"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2015</w:t>
            </w:r>
          </w:p>
        </w:tc>
        <w:tc>
          <w:tcPr>
            <w:tcW w:w="440" w:type="dxa"/>
            <w:shd w:val="clear" w:color="auto" w:fill="F2DBDB" w:themeFill="accent2" w:themeFillTint="33"/>
            <w:noWrap/>
            <w:hideMark/>
          </w:tcPr>
          <w:p w14:paraId="0B8DDF9A"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3ED162B5"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2DBDB" w:themeFill="accent2" w:themeFillTint="33"/>
            <w:noWrap/>
            <w:hideMark/>
          </w:tcPr>
          <w:p w14:paraId="76DB8C58"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BOSTON</w:t>
            </w:r>
          </w:p>
        </w:tc>
        <w:tc>
          <w:tcPr>
            <w:tcW w:w="1233" w:type="dxa"/>
            <w:shd w:val="clear" w:color="auto" w:fill="F2DBDB" w:themeFill="accent2" w:themeFillTint="33"/>
            <w:noWrap/>
            <w:hideMark/>
          </w:tcPr>
          <w:p w14:paraId="5FA405A7"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3279B0E9" w14:textId="11682535"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F040B">
              <w:rPr>
                <w:rFonts w:ascii="Calibri" w:eastAsia="Times New Roman" w:hAnsi="Calibri" w:cs="Calibri"/>
                <w:color w:val="000000"/>
              </w:rPr>
              <w:t>√</w:t>
            </w:r>
          </w:p>
        </w:tc>
        <w:tc>
          <w:tcPr>
            <w:tcW w:w="960" w:type="dxa"/>
            <w:shd w:val="clear" w:color="auto" w:fill="F2DBDB" w:themeFill="accent2" w:themeFillTint="33"/>
            <w:noWrap/>
            <w:hideMark/>
          </w:tcPr>
          <w:p w14:paraId="01849AF0"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573896D1"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F2DBDB" w:themeFill="accent2" w:themeFillTint="33"/>
            <w:noWrap/>
            <w:hideMark/>
          </w:tcPr>
          <w:p w14:paraId="30FEC185" w14:textId="5D8B4C93"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1807">
              <w:rPr>
                <w:rFonts w:ascii="Calibri" w:eastAsia="Times New Roman" w:hAnsi="Calibri" w:cs="Calibri"/>
                <w:color w:val="000000"/>
              </w:rPr>
              <w:t>√</w:t>
            </w:r>
          </w:p>
        </w:tc>
        <w:tc>
          <w:tcPr>
            <w:tcW w:w="960" w:type="dxa"/>
            <w:shd w:val="clear" w:color="auto" w:fill="F2DBDB" w:themeFill="accent2" w:themeFillTint="33"/>
            <w:noWrap/>
            <w:hideMark/>
          </w:tcPr>
          <w:p w14:paraId="3852D858" w14:textId="02EE0562"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43A4F">
              <w:rPr>
                <w:rFonts w:ascii="Calibri" w:eastAsia="Times New Roman" w:hAnsi="Calibri" w:cs="Calibri"/>
                <w:color w:val="000000"/>
              </w:rPr>
              <w:t>√</w:t>
            </w:r>
          </w:p>
        </w:tc>
        <w:tc>
          <w:tcPr>
            <w:tcW w:w="1480" w:type="dxa"/>
            <w:shd w:val="clear" w:color="auto" w:fill="F2DBDB" w:themeFill="accent2" w:themeFillTint="33"/>
            <w:noWrap/>
            <w:hideMark/>
          </w:tcPr>
          <w:p w14:paraId="5D427751"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2013</w:t>
            </w:r>
          </w:p>
        </w:tc>
        <w:tc>
          <w:tcPr>
            <w:tcW w:w="440" w:type="dxa"/>
            <w:shd w:val="clear" w:color="auto" w:fill="F2DBDB" w:themeFill="accent2" w:themeFillTint="33"/>
            <w:noWrap/>
            <w:hideMark/>
          </w:tcPr>
          <w:p w14:paraId="59E845FA"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6555D1CF"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2DBDB" w:themeFill="accent2" w:themeFillTint="33"/>
            <w:noWrap/>
            <w:hideMark/>
          </w:tcPr>
          <w:p w14:paraId="01C4A043"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CHICAGO</w:t>
            </w:r>
          </w:p>
        </w:tc>
        <w:tc>
          <w:tcPr>
            <w:tcW w:w="1233" w:type="dxa"/>
            <w:shd w:val="clear" w:color="auto" w:fill="F2DBDB" w:themeFill="accent2" w:themeFillTint="33"/>
            <w:noWrap/>
            <w:hideMark/>
          </w:tcPr>
          <w:p w14:paraId="6F44CA08"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3D078EBE" w14:textId="2D71961D"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A5421">
              <w:rPr>
                <w:rFonts w:ascii="Calibri" w:eastAsia="Times New Roman" w:hAnsi="Calibri" w:cs="Calibri"/>
                <w:color w:val="000000"/>
              </w:rPr>
              <w:t>√</w:t>
            </w:r>
          </w:p>
        </w:tc>
        <w:tc>
          <w:tcPr>
            <w:tcW w:w="960" w:type="dxa"/>
            <w:shd w:val="clear" w:color="auto" w:fill="F2DBDB" w:themeFill="accent2" w:themeFillTint="33"/>
            <w:noWrap/>
            <w:hideMark/>
          </w:tcPr>
          <w:p w14:paraId="65FBE6EA"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0BD67B53"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F2DBDB" w:themeFill="accent2" w:themeFillTint="33"/>
            <w:noWrap/>
            <w:hideMark/>
          </w:tcPr>
          <w:p w14:paraId="3E45CA3D" w14:textId="245FE5A4"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91807">
              <w:rPr>
                <w:rFonts w:ascii="Calibri" w:eastAsia="Times New Roman" w:hAnsi="Calibri" w:cs="Calibri"/>
                <w:color w:val="000000"/>
              </w:rPr>
              <w:t>√</w:t>
            </w:r>
          </w:p>
        </w:tc>
        <w:tc>
          <w:tcPr>
            <w:tcW w:w="960" w:type="dxa"/>
            <w:shd w:val="clear" w:color="auto" w:fill="F2DBDB" w:themeFill="accent2" w:themeFillTint="33"/>
            <w:noWrap/>
            <w:hideMark/>
          </w:tcPr>
          <w:p w14:paraId="166C4AA6" w14:textId="45B23BAA"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43A4F">
              <w:rPr>
                <w:rFonts w:ascii="Calibri" w:eastAsia="Times New Roman" w:hAnsi="Calibri" w:cs="Calibri"/>
                <w:color w:val="000000"/>
              </w:rPr>
              <w:t>√</w:t>
            </w:r>
          </w:p>
        </w:tc>
        <w:tc>
          <w:tcPr>
            <w:tcW w:w="1480" w:type="dxa"/>
            <w:shd w:val="clear" w:color="auto" w:fill="F2DBDB" w:themeFill="accent2" w:themeFillTint="33"/>
            <w:noWrap/>
            <w:hideMark/>
          </w:tcPr>
          <w:p w14:paraId="53787687"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2013</w:t>
            </w:r>
          </w:p>
        </w:tc>
        <w:tc>
          <w:tcPr>
            <w:tcW w:w="440" w:type="dxa"/>
            <w:shd w:val="clear" w:color="auto" w:fill="F2DBDB" w:themeFill="accent2" w:themeFillTint="33"/>
            <w:noWrap/>
            <w:hideMark/>
          </w:tcPr>
          <w:p w14:paraId="4F680A09"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35EDFB0D"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2DBDB" w:themeFill="accent2" w:themeFillTint="33"/>
            <w:noWrap/>
            <w:hideMark/>
          </w:tcPr>
          <w:p w14:paraId="285EEA89"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NEW YORK CITY</w:t>
            </w:r>
          </w:p>
        </w:tc>
        <w:tc>
          <w:tcPr>
            <w:tcW w:w="1233" w:type="dxa"/>
            <w:shd w:val="clear" w:color="auto" w:fill="F2DBDB" w:themeFill="accent2" w:themeFillTint="33"/>
            <w:noWrap/>
            <w:hideMark/>
          </w:tcPr>
          <w:p w14:paraId="5C5858AB"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444E7C3A" w14:textId="6F885D81"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A5421">
              <w:rPr>
                <w:rFonts w:ascii="Calibri" w:eastAsia="Times New Roman" w:hAnsi="Calibri" w:cs="Calibri"/>
                <w:color w:val="000000"/>
              </w:rPr>
              <w:t>√</w:t>
            </w:r>
          </w:p>
        </w:tc>
        <w:tc>
          <w:tcPr>
            <w:tcW w:w="960" w:type="dxa"/>
            <w:shd w:val="clear" w:color="auto" w:fill="F2DBDB" w:themeFill="accent2" w:themeFillTint="33"/>
            <w:noWrap/>
            <w:hideMark/>
          </w:tcPr>
          <w:p w14:paraId="12008A53" w14:textId="5570286E"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F2DBDB" w:themeFill="accent2" w:themeFillTint="33"/>
            <w:noWrap/>
            <w:hideMark/>
          </w:tcPr>
          <w:p w14:paraId="39C7500B"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2E56912F" w14:textId="3AF78F49"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1807">
              <w:rPr>
                <w:rFonts w:ascii="Calibri" w:eastAsia="Times New Roman" w:hAnsi="Calibri" w:cs="Calibri"/>
                <w:color w:val="000000"/>
              </w:rPr>
              <w:t>√</w:t>
            </w:r>
          </w:p>
        </w:tc>
        <w:tc>
          <w:tcPr>
            <w:tcW w:w="960" w:type="dxa"/>
            <w:shd w:val="clear" w:color="auto" w:fill="F2DBDB" w:themeFill="accent2" w:themeFillTint="33"/>
            <w:noWrap/>
            <w:hideMark/>
          </w:tcPr>
          <w:p w14:paraId="4A0C9416" w14:textId="7CE0D71E"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43A4F">
              <w:rPr>
                <w:rFonts w:ascii="Calibri" w:eastAsia="Times New Roman" w:hAnsi="Calibri" w:cs="Calibri"/>
                <w:color w:val="000000"/>
              </w:rPr>
              <w:t>√</w:t>
            </w:r>
          </w:p>
        </w:tc>
        <w:tc>
          <w:tcPr>
            <w:tcW w:w="1480" w:type="dxa"/>
            <w:shd w:val="clear" w:color="auto" w:fill="F2DBDB" w:themeFill="accent2" w:themeFillTint="33"/>
            <w:noWrap/>
            <w:hideMark/>
          </w:tcPr>
          <w:p w14:paraId="5F99EBED"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2009</w:t>
            </w:r>
          </w:p>
        </w:tc>
        <w:tc>
          <w:tcPr>
            <w:tcW w:w="440" w:type="dxa"/>
            <w:shd w:val="clear" w:color="auto" w:fill="F2DBDB" w:themeFill="accent2" w:themeFillTint="33"/>
            <w:noWrap/>
            <w:hideMark/>
          </w:tcPr>
          <w:p w14:paraId="2EFCDE6E"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5F6F7F5E"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2DBDB" w:themeFill="accent2" w:themeFillTint="33"/>
            <w:noWrap/>
            <w:hideMark/>
          </w:tcPr>
          <w:p w14:paraId="05C4FA71"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PITTSBURGH</w:t>
            </w:r>
          </w:p>
        </w:tc>
        <w:tc>
          <w:tcPr>
            <w:tcW w:w="1233" w:type="dxa"/>
            <w:shd w:val="clear" w:color="auto" w:fill="F2DBDB" w:themeFill="accent2" w:themeFillTint="33"/>
            <w:noWrap/>
            <w:hideMark/>
          </w:tcPr>
          <w:p w14:paraId="70C876EC"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F2DBDB" w:themeFill="accent2" w:themeFillTint="33"/>
            <w:noWrap/>
            <w:hideMark/>
          </w:tcPr>
          <w:p w14:paraId="55872C93"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3DC5F285" w14:textId="0DEB666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F2DBDB" w:themeFill="accent2" w:themeFillTint="33"/>
            <w:noWrap/>
            <w:hideMark/>
          </w:tcPr>
          <w:p w14:paraId="6DF5C077"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2017</w:t>
            </w:r>
          </w:p>
        </w:tc>
        <w:tc>
          <w:tcPr>
            <w:tcW w:w="960" w:type="dxa"/>
            <w:shd w:val="clear" w:color="auto" w:fill="F2DBDB" w:themeFill="accent2" w:themeFillTint="33"/>
            <w:noWrap/>
            <w:hideMark/>
          </w:tcPr>
          <w:p w14:paraId="07E58181"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0AA5F77A" w14:textId="7D9AE86A"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43A4F">
              <w:rPr>
                <w:rFonts w:ascii="Calibri" w:eastAsia="Times New Roman" w:hAnsi="Calibri" w:cs="Calibri"/>
                <w:color w:val="000000"/>
              </w:rPr>
              <w:t>√</w:t>
            </w:r>
          </w:p>
        </w:tc>
        <w:tc>
          <w:tcPr>
            <w:tcW w:w="1480" w:type="dxa"/>
            <w:shd w:val="clear" w:color="auto" w:fill="F2DBDB" w:themeFill="accent2" w:themeFillTint="33"/>
            <w:noWrap/>
            <w:hideMark/>
          </w:tcPr>
          <w:p w14:paraId="1C13ACFC"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440" w:type="dxa"/>
            <w:shd w:val="clear" w:color="auto" w:fill="F2DBDB" w:themeFill="accent2" w:themeFillTint="33"/>
            <w:noWrap/>
            <w:hideMark/>
          </w:tcPr>
          <w:p w14:paraId="39DFF2B9"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4C4B029F"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2DBDB" w:themeFill="accent2" w:themeFillTint="33"/>
            <w:noWrap/>
            <w:hideMark/>
          </w:tcPr>
          <w:p w14:paraId="53762305"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SAN FRANCISCO</w:t>
            </w:r>
          </w:p>
        </w:tc>
        <w:tc>
          <w:tcPr>
            <w:tcW w:w="1233" w:type="dxa"/>
            <w:shd w:val="clear" w:color="auto" w:fill="F2DBDB" w:themeFill="accent2" w:themeFillTint="33"/>
            <w:noWrap/>
            <w:hideMark/>
          </w:tcPr>
          <w:p w14:paraId="762A69E7"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F2DBDB" w:themeFill="accent2" w:themeFillTint="33"/>
            <w:noWrap/>
            <w:hideMark/>
          </w:tcPr>
          <w:p w14:paraId="542DC31F" w14:textId="5D1FFA2F"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7B01">
              <w:rPr>
                <w:rFonts w:ascii="Calibri" w:eastAsia="Times New Roman" w:hAnsi="Calibri" w:cs="Calibri"/>
                <w:color w:val="000000"/>
              </w:rPr>
              <w:t>√</w:t>
            </w:r>
          </w:p>
        </w:tc>
        <w:tc>
          <w:tcPr>
            <w:tcW w:w="960" w:type="dxa"/>
            <w:shd w:val="clear" w:color="auto" w:fill="F2DBDB" w:themeFill="accent2" w:themeFillTint="33"/>
            <w:noWrap/>
            <w:hideMark/>
          </w:tcPr>
          <w:p w14:paraId="7AA34E01"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65F48315"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2DBDB" w:themeFill="accent2" w:themeFillTint="33"/>
            <w:noWrap/>
            <w:hideMark/>
          </w:tcPr>
          <w:p w14:paraId="7055AD3E" w14:textId="4B98CFFE"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84C2B">
              <w:rPr>
                <w:rFonts w:ascii="Calibri" w:eastAsia="Times New Roman" w:hAnsi="Calibri" w:cs="Calibri"/>
                <w:color w:val="000000"/>
              </w:rPr>
              <w:t>√</w:t>
            </w:r>
          </w:p>
        </w:tc>
        <w:tc>
          <w:tcPr>
            <w:tcW w:w="960" w:type="dxa"/>
            <w:shd w:val="clear" w:color="auto" w:fill="F2DBDB" w:themeFill="accent2" w:themeFillTint="33"/>
            <w:noWrap/>
            <w:hideMark/>
          </w:tcPr>
          <w:p w14:paraId="21E423F4" w14:textId="4F5FD93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43A4F">
              <w:rPr>
                <w:rFonts w:ascii="Calibri" w:eastAsia="Times New Roman" w:hAnsi="Calibri" w:cs="Calibri"/>
                <w:color w:val="000000"/>
              </w:rPr>
              <w:t>√</w:t>
            </w:r>
          </w:p>
        </w:tc>
        <w:tc>
          <w:tcPr>
            <w:tcW w:w="1480" w:type="dxa"/>
            <w:shd w:val="clear" w:color="auto" w:fill="F2DBDB" w:themeFill="accent2" w:themeFillTint="33"/>
            <w:noWrap/>
            <w:hideMark/>
          </w:tcPr>
          <w:p w14:paraId="48440801"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2011</w:t>
            </w:r>
          </w:p>
        </w:tc>
        <w:tc>
          <w:tcPr>
            <w:tcW w:w="440" w:type="dxa"/>
            <w:shd w:val="clear" w:color="auto" w:fill="F2DBDB" w:themeFill="accent2" w:themeFillTint="33"/>
            <w:noWrap/>
            <w:hideMark/>
          </w:tcPr>
          <w:p w14:paraId="74F3E953"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4956010E"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3" w:type="dxa"/>
            <w:gridSpan w:val="2"/>
            <w:shd w:val="clear" w:color="auto" w:fill="F2DBDB" w:themeFill="accent2" w:themeFillTint="33"/>
            <w:noWrap/>
            <w:hideMark/>
          </w:tcPr>
          <w:p w14:paraId="74B07622" w14:textId="77777777" w:rsidR="00814B37" w:rsidRPr="00B213E3" w:rsidRDefault="00814B37" w:rsidP="00814B37">
            <w:pPr>
              <w:jc w:val="center"/>
              <w:rPr>
                <w:rFonts w:ascii="Calibri" w:eastAsia="Times New Roman" w:hAnsi="Calibri" w:cs="Calibri"/>
                <w:color w:val="000000"/>
              </w:rPr>
            </w:pPr>
            <w:r w:rsidRPr="00B213E3">
              <w:rPr>
                <w:rFonts w:ascii="Calibri" w:eastAsia="Times New Roman" w:hAnsi="Calibri" w:cs="Calibri"/>
                <w:color w:val="000000"/>
              </w:rPr>
              <w:t>DISTRICT OF COLUMBIA</w:t>
            </w:r>
          </w:p>
        </w:tc>
        <w:tc>
          <w:tcPr>
            <w:tcW w:w="960" w:type="dxa"/>
            <w:shd w:val="clear" w:color="auto" w:fill="F2DBDB" w:themeFill="accent2" w:themeFillTint="33"/>
            <w:noWrap/>
            <w:hideMark/>
          </w:tcPr>
          <w:p w14:paraId="30B0F787" w14:textId="7C7881E8"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F2DBDB" w:themeFill="accent2" w:themeFillTint="33"/>
            <w:noWrap/>
            <w:hideMark/>
          </w:tcPr>
          <w:p w14:paraId="1014D594" w14:textId="27A374A2"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2DBDB" w:themeFill="accent2" w:themeFillTint="33"/>
            <w:noWrap/>
            <w:hideMark/>
          </w:tcPr>
          <w:p w14:paraId="0A5258F3"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F2DBDB" w:themeFill="accent2" w:themeFillTint="33"/>
            <w:noWrap/>
            <w:hideMark/>
          </w:tcPr>
          <w:p w14:paraId="142B0F03" w14:textId="021D16D4"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F2DBDB" w:themeFill="accent2" w:themeFillTint="33"/>
            <w:noWrap/>
            <w:hideMark/>
          </w:tcPr>
          <w:p w14:paraId="52EBAA6C" w14:textId="2B1650CF"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84C2B">
              <w:rPr>
                <w:rFonts w:ascii="Calibri" w:eastAsia="Times New Roman" w:hAnsi="Calibri" w:cs="Calibri"/>
                <w:color w:val="000000"/>
              </w:rPr>
              <w:t>√</w:t>
            </w:r>
          </w:p>
        </w:tc>
        <w:tc>
          <w:tcPr>
            <w:tcW w:w="1480" w:type="dxa"/>
            <w:shd w:val="clear" w:color="auto" w:fill="F2DBDB" w:themeFill="accent2" w:themeFillTint="33"/>
            <w:noWrap/>
            <w:hideMark/>
          </w:tcPr>
          <w:p w14:paraId="35F5E440"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2008</w:t>
            </w:r>
          </w:p>
        </w:tc>
        <w:tc>
          <w:tcPr>
            <w:tcW w:w="440" w:type="dxa"/>
            <w:shd w:val="clear" w:color="auto" w:fill="F2DBDB" w:themeFill="accent2" w:themeFillTint="33"/>
            <w:noWrap/>
            <w:hideMark/>
          </w:tcPr>
          <w:p w14:paraId="35423E1F"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4</w:t>
            </w:r>
          </w:p>
        </w:tc>
      </w:tr>
      <w:tr w:rsidR="00814B37" w:rsidRPr="00B213E3" w14:paraId="6687CAA0"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AF1DD" w:themeFill="accent3" w:themeFillTint="33"/>
            <w:noWrap/>
            <w:hideMark/>
          </w:tcPr>
          <w:p w14:paraId="03734F1B"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AUSTIN</w:t>
            </w:r>
          </w:p>
        </w:tc>
        <w:tc>
          <w:tcPr>
            <w:tcW w:w="1233" w:type="dxa"/>
            <w:shd w:val="clear" w:color="auto" w:fill="EAF1DD" w:themeFill="accent3" w:themeFillTint="33"/>
            <w:noWrap/>
            <w:hideMark/>
          </w:tcPr>
          <w:p w14:paraId="79AE6A30" w14:textId="786243B9"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r w:rsidRPr="00B213E3">
              <w:rPr>
                <w:rFonts w:ascii="Calibri" w:eastAsia="Times New Roman" w:hAnsi="Calibri" w:cs="Calibri"/>
                <w:color w:val="000000"/>
              </w:rPr>
              <w:t>05</w:t>
            </w:r>
          </w:p>
        </w:tc>
        <w:tc>
          <w:tcPr>
            <w:tcW w:w="960" w:type="dxa"/>
            <w:shd w:val="clear" w:color="auto" w:fill="EAF1DD" w:themeFill="accent3" w:themeFillTint="33"/>
            <w:noWrap/>
            <w:hideMark/>
          </w:tcPr>
          <w:p w14:paraId="332CBA29" w14:textId="69D6FCD4"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7B01">
              <w:rPr>
                <w:rFonts w:ascii="Calibri" w:eastAsia="Times New Roman" w:hAnsi="Calibri" w:cs="Calibri"/>
                <w:color w:val="000000"/>
              </w:rPr>
              <w:t>√</w:t>
            </w:r>
          </w:p>
        </w:tc>
        <w:tc>
          <w:tcPr>
            <w:tcW w:w="960" w:type="dxa"/>
            <w:shd w:val="clear" w:color="auto" w:fill="EAF1DD" w:themeFill="accent3" w:themeFillTint="33"/>
            <w:noWrap/>
            <w:hideMark/>
          </w:tcPr>
          <w:p w14:paraId="55EE8126"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AF1DD" w:themeFill="accent3" w:themeFillTint="33"/>
            <w:noWrap/>
            <w:hideMark/>
          </w:tcPr>
          <w:p w14:paraId="39DD68DF"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AF1DD" w:themeFill="accent3" w:themeFillTint="33"/>
            <w:noWrap/>
            <w:hideMark/>
          </w:tcPr>
          <w:p w14:paraId="7E0CF339" w14:textId="774ECB19"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84C2B">
              <w:rPr>
                <w:rFonts w:ascii="Calibri" w:eastAsia="Times New Roman" w:hAnsi="Calibri" w:cs="Calibri"/>
                <w:color w:val="000000"/>
              </w:rPr>
              <w:t>√</w:t>
            </w:r>
          </w:p>
        </w:tc>
        <w:tc>
          <w:tcPr>
            <w:tcW w:w="960" w:type="dxa"/>
            <w:shd w:val="clear" w:color="auto" w:fill="EAF1DD" w:themeFill="accent3" w:themeFillTint="33"/>
            <w:noWrap/>
            <w:hideMark/>
          </w:tcPr>
          <w:p w14:paraId="51DBC519"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80" w:type="dxa"/>
            <w:shd w:val="clear" w:color="auto" w:fill="EAF1DD" w:themeFill="accent3" w:themeFillTint="33"/>
            <w:noWrap/>
            <w:hideMark/>
          </w:tcPr>
          <w:p w14:paraId="77251F6E"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2008</w:t>
            </w:r>
          </w:p>
        </w:tc>
        <w:tc>
          <w:tcPr>
            <w:tcW w:w="440" w:type="dxa"/>
            <w:shd w:val="clear" w:color="auto" w:fill="EAF1DD" w:themeFill="accent3" w:themeFillTint="33"/>
            <w:noWrap/>
            <w:hideMark/>
          </w:tcPr>
          <w:p w14:paraId="6633A683"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3</w:t>
            </w:r>
          </w:p>
        </w:tc>
      </w:tr>
      <w:tr w:rsidR="00814B37" w:rsidRPr="00B213E3" w14:paraId="16F05279"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AF1DD" w:themeFill="accent3" w:themeFillTint="33"/>
            <w:noWrap/>
            <w:hideMark/>
          </w:tcPr>
          <w:p w14:paraId="02755091"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DENVER</w:t>
            </w:r>
          </w:p>
        </w:tc>
        <w:tc>
          <w:tcPr>
            <w:tcW w:w="1233" w:type="dxa"/>
            <w:shd w:val="clear" w:color="auto" w:fill="EAF1DD" w:themeFill="accent3" w:themeFillTint="33"/>
            <w:noWrap/>
            <w:hideMark/>
          </w:tcPr>
          <w:p w14:paraId="69A0887D"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EAF1DD" w:themeFill="accent3" w:themeFillTint="33"/>
            <w:noWrap/>
            <w:hideMark/>
          </w:tcPr>
          <w:p w14:paraId="4EA11DFF"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AF1DD" w:themeFill="accent3" w:themeFillTint="33"/>
            <w:noWrap/>
            <w:hideMark/>
          </w:tcPr>
          <w:p w14:paraId="1608906A" w14:textId="72A6BA0C"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EAF1DD" w:themeFill="accent3" w:themeFillTint="33"/>
            <w:noWrap/>
            <w:hideMark/>
          </w:tcPr>
          <w:p w14:paraId="6198DEA4"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EAF1DD" w:themeFill="accent3" w:themeFillTint="33"/>
            <w:noWrap/>
            <w:hideMark/>
          </w:tcPr>
          <w:p w14:paraId="40A212E5"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AF1DD" w:themeFill="accent3" w:themeFillTint="33"/>
            <w:noWrap/>
            <w:hideMark/>
          </w:tcPr>
          <w:p w14:paraId="24BBA273"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EAF1DD" w:themeFill="accent3" w:themeFillTint="33"/>
            <w:noWrap/>
            <w:hideMark/>
          </w:tcPr>
          <w:p w14:paraId="4D53E5A7"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440" w:type="dxa"/>
            <w:shd w:val="clear" w:color="auto" w:fill="EAF1DD" w:themeFill="accent3" w:themeFillTint="33"/>
            <w:noWrap/>
            <w:hideMark/>
          </w:tcPr>
          <w:p w14:paraId="269E0346"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3</w:t>
            </w:r>
          </w:p>
        </w:tc>
      </w:tr>
      <w:tr w:rsidR="00814B37" w:rsidRPr="00B213E3" w14:paraId="7A7A06DB"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AF1DD" w:themeFill="accent3" w:themeFillTint="33"/>
            <w:noWrap/>
            <w:hideMark/>
          </w:tcPr>
          <w:p w14:paraId="1C98AEB8"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MINNEAPOLIS</w:t>
            </w:r>
          </w:p>
        </w:tc>
        <w:tc>
          <w:tcPr>
            <w:tcW w:w="1233" w:type="dxa"/>
            <w:shd w:val="clear" w:color="auto" w:fill="EAF1DD" w:themeFill="accent3" w:themeFillTint="33"/>
            <w:noWrap/>
            <w:hideMark/>
          </w:tcPr>
          <w:p w14:paraId="28739C9E"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AF1DD" w:themeFill="accent3" w:themeFillTint="33"/>
            <w:noWrap/>
            <w:hideMark/>
          </w:tcPr>
          <w:p w14:paraId="764C0FB8" w14:textId="6870071B"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EAF1DD" w:themeFill="accent3" w:themeFillTint="33"/>
            <w:noWrap/>
            <w:hideMark/>
          </w:tcPr>
          <w:p w14:paraId="5F03FA22" w14:textId="044F48B3"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EAF1DD" w:themeFill="accent3" w:themeFillTint="33"/>
            <w:noWrap/>
            <w:hideMark/>
          </w:tcPr>
          <w:p w14:paraId="369FC098"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AF1DD" w:themeFill="accent3" w:themeFillTint="33"/>
            <w:noWrap/>
            <w:hideMark/>
          </w:tcPr>
          <w:p w14:paraId="29AC63AF"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AF1DD" w:themeFill="accent3" w:themeFillTint="33"/>
            <w:noWrap/>
            <w:hideMark/>
          </w:tcPr>
          <w:p w14:paraId="5578E998" w14:textId="792675CC"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C1662">
              <w:rPr>
                <w:rFonts w:ascii="Calibri" w:eastAsia="Times New Roman" w:hAnsi="Calibri" w:cs="Calibri"/>
                <w:color w:val="000000"/>
              </w:rPr>
              <w:t>√</w:t>
            </w:r>
          </w:p>
        </w:tc>
        <w:tc>
          <w:tcPr>
            <w:tcW w:w="1480" w:type="dxa"/>
            <w:shd w:val="clear" w:color="auto" w:fill="EAF1DD" w:themeFill="accent3" w:themeFillTint="33"/>
            <w:noWrap/>
            <w:hideMark/>
          </w:tcPr>
          <w:p w14:paraId="1AA64ED4"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2013</w:t>
            </w:r>
          </w:p>
        </w:tc>
        <w:tc>
          <w:tcPr>
            <w:tcW w:w="440" w:type="dxa"/>
            <w:shd w:val="clear" w:color="auto" w:fill="EAF1DD" w:themeFill="accent3" w:themeFillTint="33"/>
            <w:noWrap/>
            <w:hideMark/>
          </w:tcPr>
          <w:p w14:paraId="792ACFFD"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3</w:t>
            </w:r>
          </w:p>
        </w:tc>
      </w:tr>
      <w:tr w:rsidR="00814B37" w:rsidRPr="00B213E3" w14:paraId="72F2FBEA"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5DFEC" w:themeFill="accent4" w:themeFillTint="33"/>
            <w:noWrap/>
            <w:hideMark/>
          </w:tcPr>
          <w:p w14:paraId="3665F9C4"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BERKELEY</w:t>
            </w:r>
          </w:p>
        </w:tc>
        <w:tc>
          <w:tcPr>
            <w:tcW w:w="1233" w:type="dxa"/>
            <w:shd w:val="clear" w:color="auto" w:fill="E5DFEC" w:themeFill="accent4" w:themeFillTint="33"/>
            <w:noWrap/>
            <w:hideMark/>
          </w:tcPr>
          <w:p w14:paraId="012BB7F0"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053C1C9A"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6E21EC14" w14:textId="7AF22F12"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F040B">
              <w:rPr>
                <w:rFonts w:ascii="Calibri" w:eastAsia="Times New Roman" w:hAnsi="Calibri" w:cs="Calibri"/>
                <w:color w:val="000000"/>
              </w:rPr>
              <w:t>√</w:t>
            </w:r>
          </w:p>
        </w:tc>
        <w:tc>
          <w:tcPr>
            <w:tcW w:w="960" w:type="dxa"/>
            <w:shd w:val="clear" w:color="auto" w:fill="E5DFEC" w:themeFill="accent4" w:themeFillTint="33"/>
            <w:noWrap/>
            <w:hideMark/>
          </w:tcPr>
          <w:p w14:paraId="266AA014"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638BED90"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0A25A666" w14:textId="3DBED1BE"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C1662">
              <w:rPr>
                <w:rFonts w:ascii="Calibri" w:eastAsia="Times New Roman" w:hAnsi="Calibri" w:cs="Calibri"/>
                <w:color w:val="000000"/>
              </w:rPr>
              <w:t>√</w:t>
            </w:r>
          </w:p>
        </w:tc>
        <w:tc>
          <w:tcPr>
            <w:tcW w:w="1480" w:type="dxa"/>
            <w:shd w:val="clear" w:color="auto" w:fill="E5DFEC" w:themeFill="accent4" w:themeFillTint="33"/>
            <w:noWrap/>
            <w:hideMark/>
          </w:tcPr>
          <w:p w14:paraId="616D5EE9"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2015</w:t>
            </w:r>
          </w:p>
        </w:tc>
        <w:tc>
          <w:tcPr>
            <w:tcW w:w="440" w:type="dxa"/>
            <w:shd w:val="clear" w:color="auto" w:fill="E5DFEC" w:themeFill="accent4" w:themeFillTint="33"/>
            <w:noWrap/>
            <w:hideMark/>
          </w:tcPr>
          <w:p w14:paraId="3BDEF1E7"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w:t>
            </w:r>
          </w:p>
        </w:tc>
      </w:tr>
      <w:tr w:rsidR="00814B37" w:rsidRPr="00B213E3" w14:paraId="7B35A76B"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5DFEC" w:themeFill="accent4" w:themeFillTint="33"/>
            <w:noWrap/>
            <w:hideMark/>
          </w:tcPr>
          <w:p w14:paraId="6EB72768"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BOULDER</w:t>
            </w:r>
          </w:p>
        </w:tc>
        <w:tc>
          <w:tcPr>
            <w:tcW w:w="1233" w:type="dxa"/>
            <w:shd w:val="clear" w:color="auto" w:fill="E5DFEC" w:themeFill="accent4" w:themeFillTint="33"/>
            <w:noWrap/>
            <w:hideMark/>
          </w:tcPr>
          <w:p w14:paraId="036FB41A"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6F5CEB89"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5AC4D969" w14:textId="432ABEE3"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E5DFEC" w:themeFill="accent4" w:themeFillTint="33"/>
            <w:noWrap/>
            <w:hideMark/>
          </w:tcPr>
          <w:p w14:paraId="4CD567B0"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31F79CE9"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034B658C" w14:textId="67A0DA41"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C1662">
              <w:rPr>
                <w:rFonts w:ascii="Calibri" w:eastAsia="Times New Roman" w:hAnsi="Calibri" w:cs="Calibri"/>
                <w:color w:val="000000"/>
              </w:rPr>
              <w:t>√</w:t>
            </w:r>
          </w:p>
        </w:tc>
        <w:tc>
          <w:tcPr>
            <w:tcW w:w="1480" w:type="dxa"/>
            <w:shd w:val="clear" w:color="auto" w:fill="E5DFEC" w:themeFill="accent4" w:themeFillTint="33"/>
            <w:noWrap/>
            <w:hideMark/>
          </w:tcPr>
          <w:p w14:paraId="7E836999"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2015</w:t>
            </w:r>
          </w:p>
        </w:tc>
        <w:tc>
          <w:tcPr>
            <w:tcW w:w="440" w:type="dxa"/>
            <w:shd w:val="clear" w:color="auto" w:fill="E5DFEC" w:themeFill="accent4" w:themeFillTint="33"/>
            <w:noWrap/>
            <w:hideMark/>
          </w:tcPr>
          <w:p w14:paraId="12770634"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w:t>
            </w:r>
          </w:p>
        </w:tc>
      </w:tr>
      <w:tr w:rsidR="00814B37" w:rsidRPr="00B213E3" w14:paraId="46D744FC"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5DFEC" w:themeFill="accent4" w:themeFillTint="33"/>
            <w:noWrap/>
            <w:hideMark/>
          </w:tcPr>
          <w:p w14:paraId="5464AC5B"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CAMBRIDGE</w:t>
            </w:r>
          </w:p>
        </w:tc>
        <w:tc>
          <w:tcPr>
            <w:tcW w:w="1233" w:type="dxa"/>
            <w:shd w:val="clear" w:color="auto" w:fill="E5DFEC" w:themeFill="accent4" w:themeFillTint="33"/>
            <w:noWrap/>
            <w:hideMark/>
          </w:tcPr>
          <w:p w14:paraId="3534FBE5"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4CB05C0E" w14:textId="0E7E1828"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7B01">
              <w:rPr>
                <w:rFonts w:ascii="Calibri" w:eastAsia="Times New Roman" w:hAnsi="Calibri" w:cs="Calibri"/>
                <w:color w:val="000000"/>
              </w:rPr>
              <w:t>√</w:t>
            </w:r>
          </w:p>
        </w:tc>
        <w:tc>
          <w:tcPr>
            <w:tcW w:w="960" w:type="dxa"/>
            <w:shd w:val="clear" w:color="auto" w:fill="E5DFEC" w:themeFill="accent4" w:themeFillTint="33"/>
            <w:noWrap/>
            <w:hideMark/>
          </w:tcPr>
          <w:p w14:paraId="24C85317" w14:textId="7C02605A"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E5DFEC" w:themeFill="accent4" w:themeFillTint="33"/>
            <w:noWrap/>
            <w:hideMark/>
          </w:tcPr>
          <w:p w14:paraId="34285034"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0999B33C"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687DBE31"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E5DFEC" w:themeFill="accent4" w:themeFillTint="33"/>
            <w:noWrap/>
            <w:hideMark/>
          </w:tcPr>
          <w:p w14:paraId="3AF63CE3"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440" w:type="dxa"/>
            <w:shd w:val="clear" w:color="auto" w:fill="E5DFEC" w:themeFill="accent4" w:themeFillTint="33"/>
            <w:noWrap/>
            <w:hideMark/>
          </w:tcPr>
          <w:p w14:paraId="138A9733"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w:t>
            </w:r>
          </w:p>
        </w:tc>
      </w:tr>
      <w:tr w:rsidR="00814B37" w:rsidRPr="00B213E3" w14:paraId="700C9AB8"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5DFEC" w:themeFill="accent4" w:themeFillTint="33"/>
            <w:noWrap/>
            <w:hideMark/>
          </w:tcPr>
          <w:p w14:paraId="4B7E5FFF"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ORLANDO</w:t>
            </w:r>
          </w:p>
        </w:tc>
        <w:tc>
          <w:tcPr>
            <w:tcW w:w="1233" w:type="dxa"/>
            <w:shd w:val="clear" w:color="auto" w:fill="E5DFEC" w:themeFill="accent4" w:themeFillTint="33"/>
            <w:noWrap/>
            <w:hideMark/>
          </w:tcPr>
          <w:p w14:paraId="4A359B6B"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0598334A" w14:textId="160B56C6"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E5DFEC" w:themeFill="accent4" w:themeFillTint="33"/>
            <w:noWrap/>
            <w:hideMark/>
          </w:tcPr>
          <w:p w14:paraId="3AF44213"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4797A27A"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E5DFEC" w:themeFill="accent4" w:themeFillTint="33"/>
            <w:noWrap/>
            <w:hideMark/>
          </w:tcPr>
          <w:p w14:paraId="1F40F86A"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1A86C909"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E5DFEC" w:themeFill="accent4" w:themeFillTint="33"/>
            <w:noWrap/>
            <w:hideMark/>
          </w:tcPr>
          <w:p w14:paraId="3FDB1F88"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440" w:type="dxa"/>
            <w:shd w:val="clear" w:color="auto" w:fill="E5DFEC" w:themeFill="accent4" w:themeFillTint="33"/>
            <w:noWrap/>
            <w:hideMark/>
          </w:tcPr>
          <w:p w14:paraId="54558643"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w:t>
            </w:r>
          </w:p>
        </w:tc>
      </w:tr>
      <w:tr w:rsidR="00814B37" w:rsidRPr="00B213E3" w14:paraId="2B20CF50"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5DFEC" w:themeFill="accent4" w:themeFillTint="33"/>
            <w:noWrap/>
            <w:hideMark/>
          </w:tcPr>
          <w:p w14:paraId="2E9871A4"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SALT LAKE CITY</w:t>
            </w:r>
          </w:p>
        </w:tc>
        <w:tc>
          <w:tcPr>
            <w:tcW w:w="1233" w:type="dxa"/>
            <w:shd w:val="clear" w:color="auto" w:fill="E5DFEC" w:themeFill="accent4" w:themeFillTint="33"/>
            <w:noWrap/>
            <w:hideMark/>
          </w:tcPr>
          <w:p w14:paraId="294C7087"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7485BD9C" w14:textId="1E49AA90"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7B01">
              <w:rPr>
                <w:rFonts w:ascii="Calibri" w:eastAsia="Times New Roman" w:hAnsi="Calibri" w:cs="Calibri"/>
                <w:color w:val="000000"/>
              </w:rPr>
              <w:t>√</w:t>
            </w:r>
          </w:p>
        </w:tc>
        <w:tc>
          <w:tcPr>
            <w:tcW w:w="960" w:type="dxa"/>
            <w:shd w:val="clear" w:color="auto" w:fill="E5DFEC" w:themeFill="accent4" w:themeFillTint="33"/>
            <w:noWrap/>
            <w:hideMark/>
          </w:tcPr>
          <w:p w14:paraId="49C81051"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1B26DD01"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960" w:type="dxa"/>
            <w:shd w:val="clear" w:color="auto" w:fill="E5DFEC" w:themeFill="accent4" w:themeFillTint="33"/>
            <w:noWrap/>
            <w:hideMark/>
          </w:tcPr>
          <w:p w14:paraId="3CF92038"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3C55C84E"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E5DFEC" w:themeFill="accent4" w:themeFillTint="33"/>
            <w:noWrap/>
            <w:hideMark/>
          </w:tcPr>
          <w:p w14:paraId="41F22882"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2015</w:t>
            </w:r>
          </w:p>
        </w:tc>
        <w:tc>
          <w:tcPr>
            <w:tcW w:w="440" w:type="dxa"/>
            <w:shd w:val="clear" w:color="auto" w:fill="E5DFEC" w:themeFill="accent4" w:themeFillTint="33"/>
            <w:noWrap/>
            <w:hideMark/>
          </w:tcPr>
          <w:p w14:paraId="0208EAB5"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w:t>
            </w:r>
          </w:p>
        </w:tc>
      </w:tr>
      <w:tr w:rsidR="00B213E3" w:rsidRPr="00B213E3" w14:paraId="21652DB0"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E5DFEC" w:themeFill="accent4" w:themeFillTint="33"/>
            <w:noWrap/>
            <w:hideMark/>
          </w:tcPr>
          <w:p w14:paraId="24BDF454" w14:textId="77777777" w:rsidR="00B213E3" w:rsidRPr="00B213E3" w:rsidRDefault="00B213E3" w:rsidP="00B213E3">
            <w:pPr>
              <w:rPr>
                <w:rFonts w:ascii="Calibri" w:eastAsia="Times New Roman" w:hAnsi="Calibri" w:cs="Calibri"/>
                <w:color w:val="000000"/>
              </w:rPr>
            </w:pPr>
            <w:r w:rsidRPr="00B213E3">
              <w:rPr>
                <w:rFonts w:ascii="Calibri" w:eastAsia="Times New Roman" w:hAnsi="Calibri" w:cs="Calibri"/>
                <w:color w:val="000000"/>
              </w:rPr>
              <w:t>ST LOUIS</w:t>
            </w:r>
          </w:p>
        </w:tc>
        <w:tc>
          <w:tcPr>
            <w:tcW w:w="1233" w:type="dxa"/>
            <w:shd w:val="clear" w:color="auto" w:fill="E5DFEC" w:themeFill="accent4" w:themeFillTint="33"/>
            <w:noWrap/>
            <w:hideMark/>
          </w:tcPr>
          <w:p w14:paraId="2652F0D7"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56EE3608"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0B9BA727"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E5DFEC" w:themeFill="accent4" w:themeFillTint="33"/>
            <w:noWrap/>
            <w:hideMark/>
          </w:tcPr>
          <w:p w14:paraId="6D683944"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960" w:type="dxa"/>
            <w:shd w:val="clear" w:color="auto" w:fill="E5DFEC" w:themeFill="accent4" w:themeFillTint="33"/>
            <w:noWrap/>
            <w:hideMark/>
          </w:tcPr>
          <w:p w14:paraId="5269C516"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E5DFEC" w:themeFill="accent4" w:themeFillTint="33"/>
            <w:noWrap/>
            <w:hideMark/>
          </w:tcPr>
          <w:p w14:paraId="3EBABFAC" w14:textId="525D6B99" w:rsidR="00B213E3"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480" w:type="dxa"/>
            <w:shd w:val="clear" w:color="auto" w:fill="E5DFEC" w:themeFill="accent4" w:themeFillTint="33"/>
            <w:noWrap/>
            <w:hideMark/>
          </w:tcPr>
          <w:p w14:paraId="1D580BCB" w14:textId="77777777" w:rsidR="00B213E3" w:rsidRPr="00B213E3" w:rsidRDefault="00B213E3" w:rsidP="00B2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2017</w:t>
            </w:r>
          </w:p>
        </w:tc>
        <w:tc>
          <w:tcPr>
            <w:tcW w:w="440" w:type="dxa"/>
            <w:shd w:val="clear" w:color="auto" w:fill="E5DFEC" w:themeFill="accent4" w:themeFillTint="33"/>
            <w:noWrap/>
            <w:hideMark/>
          </w:tcPr>
          <w:p w14:paraId="55C92A36" w14:textId="77777777" w:rsidR="00B213E3" w:rsidRPr="00B213E3" w:rsidRDefault="00B213E3" w:rsidP="00B2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w:t>
            </w:r>
          </w:p>
        </w:tc>
      </w:tr>
      <w:tr w:rsidR="00B213E3" w:rsidRPr="00B213E3" w14:paraId="3508B362"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DAEEF3" w:themeFill="accent5" w:themeFillTint="33"/>
            <w:noWrap/>
            <w:hideMark/>
          </w:tcPr>
          <w:p w14:paraId="41968B22" w14:textId="77777777" w:rsidR="00B213E3" w:rsidRPr="00B213E3" w:rsidRDefault="00B213E3" w:rsidP="00B213E3">
            <w:pPr>
              <w:rPr>
                <w:rFonts w:ascii="Calibri" w:eastAsia="Times New Roman" w:hAnsi="Calibri" w:cs="Calibri"/>
                <w:color w:val="000000"/>
              </w:rPr>
            </w:pPr>
            <w:r w:rsidRPr="00B213E3">
              <w:rPr>
                <w:rFonts w:ascii="Calibri" w:eastAsia="Times New Roman" w:hAnsi="Calibri" w:cs="Calibri"/>
                <w:color w:val="000000"/>
              </w:rPr>
              <w:t>KANSAS CITY MO</w:t>
            </w:r>
          </w:p>
        </w:tc>
        <w:tc>
          <w:tcPr>
            <w:tcW w:w="1233" w:type="dxa"/>
            <w:shd w:val="clear" w:color="auto" w:fill="DAEEF3" w:themeFill="accent5" w:themeFillTint="33"/>
            <w:noWrap/>
            <w:hideMark/>
          </w:tcPr>
          <w:p w14:paraId="47647B28"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74D58545" w14:textId="12E8C1C6" w:rsidR="00B213E3"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7B01">
              <w:rPr>
                <w:rFonts w:ascii="Calibri" w:eastAsia="Times New Roman" w:hAnsi="Calibri" w:cs="Calibri"/>
                <w:color w:val="000000"/>
              </w:rPr>
              <w:t>√</w:t>
            </w:r>
          </w:p>
        </w:tc>
        <w:tc>
          <w:tcPr>
            <w:tcW w:w="960" w:type="dxa"/>
            <w:shd w:val="clear" w:color="auto" w:fill="DAEEF3" w:themeFill="accent5" w:themeFillTint="33"/>
            <w:noWrap/>
            <w:hideMark/>
          </w:tcPr>
          <w:p w14:paraId="3E669CCE"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019A64AE"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1B151286"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127451B6"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DAEEF3" w:themeFill="accent5" w:themeFillTint="33"/>
            <w:noWrap/>
            <w:hideMark/>
          </w:tcPr>
          <w:p w14:paraId="136F667C" w14:textId="77777777" w:rsidR="00B213E3" w:rsidRPr="00B213E3" w:rsidRDefault="00B213E3" w:rsidP="00B2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2015</w:t>
            </w:r>
          </w:p>
        </w:tc>
        <w:tc>
          <w:tcPr>
            <w:tcW w:w="440" w:type="dxa"/>
            <w:shd w:val="clear" w:color="auto" w:fill="DAEEF3" w:themeFill="accent5" w:themeFillTint="33"/>
            <w:noWrap/>
            <w:hideMark/>
          </w:tcPr>
          <w:p w14:paraId="33BB5716" w14:textId="77777777" w:rsidR="00B213E3" w:rsidRPr="00B213E3" w:rsidRDefault="00B213E3" w:rsidP="00B2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1</w:t>
            </w:r>
          </w:p>
        </w:tc>
      </w:tr>
      <w:tr w:rsidR="00814B37" w:rsidRPr="00B213E3" w14:paraId="78D23D71"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3373" w:type="dxa"/>
            <w:gridSpan w:val="2"/>
            <w:shd w:val="clear" w:color="auto" w:fill="DAEEF3" w:themeFill="accent5" w:themeFillTint="33"/>
            <w:noWrap/>
            <w:hideMark/>
          </w:tcPr>
          <w:p w14:paraId="29D68444" w14:textId="77777777" w:rsidR="00814B37" w:rsidRPr="00B213E3" w:rsidRDefault="00814B37" w:rsidP="00814B37">
            <w:pPr>
              <w:jc w:val="center"/>
              <w:rPr>
                <w:rFonts w:ascii="Calibri" w:eastAsia="Times New Roman" w:hAnsi="Calibri" w:cs="Calibri"/>
                <w:color w:val="000000"/>
              </w:rPr>
            </w:pPr>
            <w:r w:rsidRPr="00B213E3">
              <w:rPr>
                <w:rFonts w:ascii="Calibri" w:eastAsia="Times New Roman" w:hAnsi="Calibri" w:cs="Calibri"/>
                <w:color w:val="000000"/>
              </w:rPr>
              <w:t>MONTGOMERY COUNTY</w:t>
            </w:r>
          </w:p>
        </w:tc>
        <w:tc>
          <w:tcPr>
            <w:tcW w:w="960" w:type="dxa"/>
            <w:shd w:val="clear" w:color="auto" w:fill="DAEEF3" w:themeFill="accent5" w:themeFillTint="33"/>
            <w:noWrap/>
            <w:hideMark/>
          </w:tcPr>
          <w:p w14:paraId="259CF5BD"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118C2B5E" w14:textId="37102861"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DAEEF3" w:themeFill="accent5" w:themeFillTint="33"/>
            <w:noWrap/>
            <w:hideMark/>
          </w:tcPr>
          <w:p w14:paraId="49686CDB"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4624FC7D"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13F7315D" w14:textId="77777777" w:rsidR="00814B37"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DAEEF3" w:themeFill="accent5" w:themeFillTint="33"/>
            <w:noWrap/>
            <w:hideMark/>
          </w:tcPr>
          <w:p w14:paraId="0D2D6A1F"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440" w:type="dxa"/>
            <w:shd w:val="clear" w:color="auto" w:fill="DAEEF3" w:themeFill="accent5" w:themeFillTint="33"/>
            <w:noWrap/>
            <w:hideMark/>
          </w:tcPr>
          <w:p w14:paraId="224CD69E" w14:textId="77777777" w:rsidR="00814B37" w:rsidRPr="00B213E3" w:rsidRDefault="00814B37" w:rsidP="00814B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1</w:t>
            </w:r>
          </w:p>
        </w:tc>
      </w:tr>
      <w:tr w:rsidR="00814B37" w:rsidRPr="00B213E3" w14:paraId="73D9BB1E"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DAEEF3" w:themeFill="accent5" w:themeFillTint="33"/>
            <w:noWrap/>
            <w:hideMark/>
          </w:tcPr>
          <w:p w14:paraId="348C1448" w14:textId="77777777" w:rsidR="00814B37" w:rsidRPr="00B213E3" w:rsidRDefault="00814B37" w:rsidP="00814B37">
            <w:pPr>
              <w:rPr>
                <w:rFonts w:ascii="Calibri" w:eastAsia="Times New Roman" w:hAnsi="Calibri" w:cs="Calibri"/>
                <w:color w:val="000000"/>
              </w:rPr>
            </w:pPr>
            <w:r w:rsidRPr="00B213E3">
              <w:rPr>
                <w:rFonts w:ascii="Calibri" w:eastAsia="Times New Roman" w:hAnsi="Calibri" w:cs="Calibri"/>
                <w:color w:val="000000"/>
              </w:rPr>
              <w:t>PORTLAND</w:t>
            </w:r>
          </w:p>
        </w:tc>
        <w:tc>
          <w:tcPr>
            <w:tcW w:w="1233" w:type="dxa"/>
            <w:shd w:val="clear" w:color="auto" w:fill="DAEEF3" w:themeFill="accent5" w:themeFillTint="33"/>
            <w:noWrap/>
            <w:hideMark/>
          </w:tcPr>
          <w:p w14:paraId="7CF2EE49"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0EAC6873" w14:textId="4FA320D8"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072FB60F" w14:textId="3A9D4520"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DAEEF3" w:themeFill="accent5" w:themeFillTint="33"/>
            <w:noWrap/>
            <w:hideMark/>
          </w:tcPr>
          <w:p w14:paraId="4C680C5B"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4EAECDA8"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231494A1" w14:textId="77777777" w:rsidR="00814B37"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DAEEF3" w:themeFill="accent5" w:themeFillTint="33"/>
            <w:noWrap/>
            <w:hideMark/>
          </w:tcPr>
          <w:p w14:paraId="67969BDC"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2015</w:t>
            </w:r>
          </w:p>
        </w:tc>
        <w:tc>
          <w:tcPr>
            <w:tcW w:w="440" w:type="dxa"/>
            <w:shd w:val="clear" w:color="auto" w:fill="DAEEF3" w:themeFill="accent5" w:themeFillTint="33"/>
            <w:noWrap/>
            <w:hideMark/>
          </w:tcPr>
          <w:p w14:paraId="17E629AE" w14:textId="77777777" w:rsidR="00814B37" w:rsidRPr="00B213E3" w:rsidRDefault="00814B37" w:rsidP="00814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1</w:t>
            </w:r>
          </w:p>
        </w:tc>
      </w:tr>
      <w:tr w:rsidR="00B213E3" w:rsidRPr="00B213E3" w14:paraId="6B37AC13"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DAEEF3" w:themeFill="accent5" w:themeFillTint="33"/>
            <w:noWrap/>
            <w:hideMark/>
          </w:tcPr>
          <w:p w14:paraId="02EC75F9" w14:textId="77777777" w:rsidR="00B213E3" w:rsidRPr="00B213E3" w:rsidRDefault="00B213E3" w:rsidP="00B213E3">
            <w:pPr>
              <w:rPr>
                <w:rFonts w:ascii="Calibri" w:eastAsia="Times New Roman" w:hAnsi="Calibri" w:cs="Calibri"/>
                <w:color w:val="000000"/>
              </w:rPr>
            </w:pPr>
            <w:r w:rsidRPr="00B213E3">
              <w:rPr>
                <w:rFonts w:ascii="Calibri" w:eastAsia="Times New Roman" w:hAnsi="Calibri" w:cs="Calibri"/>
                <w:color w:val="000000"/>
              </w:rPr>
              <w:t>PORTLAND, ME</w:t>
            </w:r>
          </w:p>
        </w:tc>
        <w:tc>
          <w:tcPr>
            <w:tcW w:w="1233" w:type="dxa"/>
            <w:shd w:val="clear" w:color="auto" w:fill="DAEEF3" w:themeFill="accent5" w:themeFillTint="33"/>
            <w:noWrap/>
            <w:hideMark/>
          </w:tcPr>
          <w:p w14:paraId="44767F8A" w14:textId="3A212F2D" w:rsidR="00B213E3" w:rsidRPr="00B213E3" w:rsidRDefault="00814B37"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r w:rsidR="00B213E3" w:rsidRPr="00B213E3">
              <w:rPr>
                <w:rFonts w:ascii="Calibri" w:eastAsia="Times New Roman" w:hAnsi="Calibri" w:cs="Calibri"/>
                <w:color w:val="000000"/>
              </w:rPr>
              <w:t>17</w:t>
            </w:r>
          </w:p>
        </w:tc>
        <w:tc>
          <w:tcPr>
            <w:tcW w:w="960" w:type="dxa"/>
            <w:shd w:val="clear" w:color="auto" w:fill="DAEEF3" w:themeFill="accent5" w:themeFillTint="33"/>
            <w:noWrap/>
            <w:hideMark/>
          </w:tcPr>
          <w:p w14:paraId="11079FD0"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6C8AAE66"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1F5175F8"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132768C3"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69EAC71F"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DAEEF3" w:themeFill="accent5" w:themeFillTint="33"/>
            <w:noWrap/>
            <w:hideMark/>
          </w:tcPr>
          <w:p w14:paraId="6EE5D8A2" w14:textId="77777777" w:rsidR="00B213E3" w:rsidRPr="00B213E3" w:rsidRDefault="00B213E3" w:rsidP="00B2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440" w:type="dxa"/>
            <w:shd w:val="clear" w:color="auto" w:fill="DAEEF3" w:themeFill="accent5" w:themeFillTint="33"/>
            <w:noWrap/>
            <w:hideMark/>
          </w:tcPr>
          <w:p w14:paraId="02B4C008" w14:textId="77777777" w:rsidR="00B213E3" w:rsidRPr="00B213E3" w:rsidRDefault="00B213E3" w:rsidP="00B2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1</w:t>
            </w:r>
          </w:p>
        </w:tc>
      </w:tr>
      <w:tr w:rsidR="00B213E3" w:rsidRPr="00B213E3" w14:paraId="77E4C56E"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DAEEF3" w:themeFill="accent5" w:themeFillTint="33"/>
            <w:noWrap/>
            <w:hideMark/>
          </w:tcPr>
          <w:p w14:paraId="51D14572" w14:textId="77777777" w:rsidR="00B213E3" w:rsidRPr="00B213E3" w:rsidRDefault="00B213E3" w:rsidP="00B213E3">
            <w:pPr>
              <w:rPr>
                <w:rFonts w:ascii="Calibri" w:eastAsia="Times New Roman" w:hAnsi="Calibri" w:cs="Calibri"/>
                <w:color w:val="000000"/>
              </w:rPr>
            </w:pPr>
            <w:r w:rsidRPr="00B213E3">
              <w:rPr>
                <w:rFonts w:ascii="Calibri" w:eastAsia="Times New Roman" w:hAnsi="Calibri" w:cs="Calibri"/>
                <w:color w:val="000000"/>
              </w:rPr>
              <w:t>SOUTH PORTLAND, ME</w:t>
            </w:r>
          </w:p>
        </w:tc>
        <w:tc>
          <w:tcPr>
            <w:tcW w:w="1233" w:type="dxa"/>
            <w:shd w:val="clear" w:color="auto" w:fill="DAEEF3" w:themeFill="accent5" w:themeFillTint="33"/>
            <w:noWrap/>
            <w:hideMark/>
          </w:tcPr>
          <w:p w14:paraId="64621096"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21233318"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5E6BE912" w14:textId="3B572ECE" w:rsidR="00B213E3" w:rsidRPr="00B213E3" w:rsidRDefault="00814B37"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960" w:type="dxa"/>
            <w:shd w:val="clear" w:color="auto" w:fill="DAEEF3" w:themeFill="accent5" w:themeFillTint="33"/>
            <w:noWrap/>
            <w:hideMark/>
          </w:tcPr>
          <w:p w14:paraId="6CD95112"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DAEEF3" w:themeFill="accent5" w:themeFillTint="33"/>
            <w:noWrap/>
            <w:hideMark/>
          </w:tcPr>
          <w:p w14:paraId="68081134"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DAEEF3" w:themeFill="accent5" w:themeFillTint="33"/>
            <w:noWrap/>
            <w:hideMark/>
          </w:tcPr>
          <w:p w14:paraId="1888E6DD" w14:textId="77777777" w:rsidR="00B213E3" w:rsidRPr="00B213E3" w:rsidRDefault="00B213E3" w:rsidP="00814B3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DAEEF3" w:themeFill="accent5" w:themeFillTint="33"/>
            <w:noWrap/>
            <w:hideMark/>
          </w:tcPr>
          <w:p w14:paraId="570D6022" w14:textId="77777777" w:rsidR="00B213E3" w:rsidRPr="00B213E3" w:rsidRDefault="00B213E3" w:rsidP="00B2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2017</w:t>
            </w:r>
          </w:p>
        </w:tc>
        <w:tc>
          <w:tcPr>
            <w:tcW w:w="440" w:type="dxa"/>
            <w:shd w:val="clear" w:color="auto" w:fill="DAEEF3" w:themeFill="accent5" w:themeFillTint="33"/>
            <w:noWrap/>
            <w:hideMark/>
          </w:tcPr>
          <w:p w14:paraId="372DECDE" w14:textId="77777777" w:rsidR="00B213E3" w:rsidRPr="00B213E3" w:rsidRDefault="00B213E3" w:rsidP="00B2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1</w:t>
            </w:r>
          </w:p>
        </w:tc>
      </w:tr>
      <w:tr w:rsidR="00B213E3" w:rsidRPr="00B213E3" w14:paraId="6B20A20C" w14:textId="77777777" w:rsidTr="00814B37">
        <w:trPr>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DE9D9" w:themeFill="accent6" w:themeFillTint="33"/>
            <w:noWrap/>
            <w:hideMark/>
          </w:tcPr>
          <w:p w14:paraId="1E77036D" w14:textId="77777777" w:rsidR="00B213E3" w:rsidRPr="00B213E3" w:rsidRDefault="00B213E3" w:rsidP="00B213E3">
            <w:pPr>
              <w:rPr>
                <w:rFonts w:ascii="Calibri" w:eastAsia="Times New Roman" w:hAnsi="Calibri" w:cs="Calibri"/>
                <w:color w:val="000000"/>
              </w:rPr>
            </w:pPr>
            <w:r w:rsidRPr="00B213E3">
              <w:rPr>
                <w:rFonts w:ascii="Calibri" w:eastAsia="Times New Roman" w:hAnsi="Calibri" w:cs="Calibri"/>
                <w:color w:val="000000"/>
              </w:rPr>
              <w:t>COOK COUNTY</w:t>
            </w:r>
          </w:p>
        </w:tc>
        <w:tc>
          <w:tcPr>
            <w:tcW w:w="1233" w:type="dxa"/>
            <w:shd w:val="clear" w:color="auto" w:fill="FDE9D9" w:themeFill="accent6" w:themeFillTint="33"/>
            <w:noWrap/>
            <w:hideMark/>
          </w:tcPr>
          <w:p w14:paraId="56CB26D1"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0" w:type="dxa"/>
            <w:shd w:val="clear" w:color="auto" w:fill="FDE9D9" w:themeFill="accent6" w:themeFillTint="33"/>
            <w:noWrap/>
            <w:hideMark/>
          </w:tcPr>
          <w:p w14:paraId="4A9CFEEF"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03ECFCF5"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35B0E639"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5E7CDA6B"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76D4202C" w14:textId="77777777" w:rsidR="00B213E3" w:rsidRPr="00B213E3" w:rsidRDefault="00B213E3" w:rsidP="00814B3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FDE9D9" w:themeFill="accent6" w:themeFillTint="33"/>
            <w:noWrap/>
            <w:hideMark/>
          </w:tcPr>
          <w:p w14:paraId="42E32801" w14:textId="77777777" w:rsidR="00B213E3" w:rsidRPr="00B213E3" w:rsidRDefault="00B213E3" w:rsidP="00B2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2014</w:t>
            </w:r>
          </w:p>
        </w:tc>
        <w:tc>
          <w:tcPr>
            <w:tcW w:w="440" w:type="dxa"/>
            <w:shd w:val="clear" w:color="auto" w:fill="FDE9D9" w:themeFill="accent6" w:themeFillTint="33"/>
            <w:noWrap/>
            <w:hideMark/>
          </w:tcPr>
          <w:p w14:paraId="1F82771F" w14:textId="77777777" w:rsidR="00B213E3" w:rsidRPr="00B213E3" w:rsidRDefault="00B213E3" w:rsidP="00B2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0</w:t>
            </w:r>
          </w:p>
        </w:tc>
      </w:tr>
      <w:tr w:rsidR="00B213E3" w:rsidRPr="00B213E3" w14:paraId="2C86DB3C" w14:textId="77777777" w:rsidTr="00814B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0" w:type="dxa"/>
            <w:shd w:val="clear" w:color="auto" w:fill="FDE9D9" w:themeFill="accent6" w:themeFillTint="33"/>
            <w:noWrap/>
            <w:hideMark/>
          </w:tcPr>
          <w:p w14:paraId="5DF592A1" w14:textId="77777777" w:rsidR="00B213E3" w:rsidRPr="00B213E3" w:rsidRDefault="00B213E3" w:rsidP="00B213E3">
            <w:pPr>
              <w:rPr>
                <w:rFonts w:ascii="Calibri" w:eastAsia="Times New Roman" w:hAnsi="Calibri" w:cs="Calibri"/>
                <w:color w:val="000000"/>
              </w:rPr>
            </w:pPr>
            <w:r w:rsidRPr="00B213E3">
              <w:rPr>
                <w:rFonts w:ascii="Calibri" w:eastAsia="Times New Roman" w:hAnsi="Calibri" w:cs="Calibri"/>
                <w:color w:val="000000"/>
              </w:rPr>
              <w:t>EVANSTON</w:t>
            </w:r>
          </w:p>
        </w:tc>
        <w:tc>
          <w:tcPr>
            <w:tcW w:w="1233" w:type="dxa"/>
            <w:shd w:val="clear" w:color="auto" w:fill="FDE9D9" w:themeFill="accent6" w:themeFillTint="33"/>
            <w:noWrap/>
            <w:hideMark/>
          </w:tcPr>
          <w:p w14:paraId="31071676" w14:textId="77777777" w:rsidR="00B213E3" w:rsidRPr="00B213E3" w:rsidRDefault="00B213E3" w:rsidP="00B213E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60" w:type="dxa"/>
            <w:shd w:val="clear" w:color="auto" w:fill="FDE9D9" w:themeFill="accent6" w:themeFillTint="33"/>
            <w:noWrap/>
            <w:hideMark/>
          </w:tcPr>
          <w:p w14:paraId="77F57CE3" w14:textId="77777777" w:rsidR="00B213E3" w:rsidRPr="00B213E3" w:rsidRDefault="00B213E3" w:rsidP="00B213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1FC5105F" w14:textId="77777777" w:rsidR="00B213E3" w:rsidRPr="00B213E3" w:rsidRDefault="00B213E3" w:rsidP="00B213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6611C262" w14:textId="77777777" w:rsidR="00B213E3" w:rsidRPr="00B213E3" w:rsidRDefault="00B213E3" w:rsidP="00B213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525B1A71" w14:textId="77777777" w:rsidR="00B213E3" w:rsidRPr="00B213E3" w:rsidRDefault="00B213E3" w:rsidP="00B213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960" w:type="dxa"/>
            <w:shd w:val="clear" w:color="auto" w:fill="FDE9D9" w:themeFill="accent6" w:themeFillTint="33"/>
            <w:noWrap/>
            <w:hideMark/>
          </w:tcPr>
          <w:p w14:paraId="0C125006" w14:textId="77777777" w:rsidR="00B213E3" w:rsidRPr="00B213E3" w:rsidRDefault="00B213E3" w:rsidP="00B213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80" w:type="dxa"/>
            <w:shd w:val="clear" w:color="auto" w:fill="FDE9D9" w:themeFill="accent6" w:themeFillTint="33"/>
            <w:noWrap/>
            <w:hideMark/>
          </w:tcPr>
          <w:p w14:paraId="3594AA08" w14:textId="77777777" w:rsidR="00B213E3" w:rsidRPr="00B213E3" w:rsidRDefault="00B213E3" w:rsidP="00B2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2016</w:t>
            </w:r>
          </w:p>
        </w:tc>
        <w:tc>
          <w:tcPr>
            <w:tcW w:w="440" w:type="dxa"/>
            <w:shd w:val="clear" w:color="auto" w:fill="FDE9D9" w:themeFill="accent6" w:themeFillTint="33"/>
            <w:noWrap/>
            <w:hideMark/>
          </w:tcPr>
          <w:p w14:paraId="234BC30F" w14:textId="77777777" w:rsidR="00B213E3" w:rsidRPr="00B213E3" w:rsidRDefault="00B213E3" w:rsidP="00B2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213E3">
              <w:rPr>
                <w:rFonts w:ascii="Calibri" w:eastAsia="Times New Roman" w:hAnsi="Calibri" w:cs="Calibri"/>
                <w:color w:val="000000"/>
              </w:rPr>
              <w:t>0</w:t>
            </w:r>
          </w:p>
        </w:tc>
      </w:tr>
    </w:tbl>
    <w:p w14:paraId="2B14558C" w14:textId="6996AC0E" w:rsidR="00B213E3" w:rsidRDefault="00B213E3" w:rsidP="00B213E3">
      <w:pPr>
        <w:pStyle w:val="Caption"/>
      </w:pPr>
      <w:bookmarkStart w:id="29" w:name="_Toc532165390"/>
      <w:r>
        <w:t xml:space="preserve">Table </w:t>
      </w:r>
      <w:r>
        <w:fldChar w:fldCharType="begin"/>
      </w:r>
      <w:r>
        <w:instrText xml:space="preserve"> SEQ Table \* ARABIC </w:instrText>
      </w:r>
      <w:r>
        <w:fldChar w:fldCharType="separate"/>
      </w:r>
      <w:r w:rsidR="00121B40">
        <w:rPr>
          <w:noProof/>
        </w:rPr>
        <w:t>5</w:t>
      </w:r>
      <w:r>
        <w:fldChar w:fldCharType="end"/>
      </w:r>
      <w:r w:rsidR="00814B37">
        <w:t xml:space="preserve">:  Participation </w:t>
      </w:r>
      <w:proofErr w:type="gramStart"/>
      <w:r w:rsidR="00814B37">
        <w:t xml:space="preserve">in </w:t>
      </w:r>
      <w:r>
        <w:t xml:space="preserve"> urban</w:t>
      </w:r>
      <w:proofErr w:type="gramEnd"/>
      <w:r>
        <w:t xml:space="preserve"> network</w:t>
      </w:r>
      <w:r w:rsidR="00814B37">
        <w:t>s</w:t>
      </w:r>
      <w:r>
        <w:t xml:space="preserve">  of cities with benchmarking ordinances</w:t>
      </w:r>
      <w:bookmarkEnd w:id="29"/>
    </w:p>
    <w:p w14:paraId="24415A9E" w14:textId="194A93B1" w:rsidR="00B213E3" w:rsidRDefault="00B213E3" w:rsidP="00B213E3"/>
    <w:p w14:paraId="44787056" w14:textId="04F2010E" w:rsidR="00B213E3" w:rsidRPr="00B213E3" w:rsidRDefault="00B213E3" w:rsidP="00B213E3">
      <w:r>
        <w:t xml:space="preserve">Table 5 indicates the number of </w:t>
      </w:r>
      <w:proofErr w:type="gramStart"/>
      <w:r>
        <w:t>networks  cities</w:t>
      </w:r>
      <w:proofErr w:type="gramEnd"/>
      <w:r>
        <w:t xml:space="preserve"> with benchmarking ordinances have joined.  We can notice that most of them belong to at least one</w:t>
      </w:r>
      <w:r w:rsidR="00F12523">
        <w:t xml:space="preserve"> network</w:t>
      </w:r>
      <w:r>
        <w:t xml:space="preserve">, except Cook county and Evanston which are both </w:t>
      </w:r>
      <w:proofErr w:type="gramStart"/>
      <w:r>
        <w:t>in the vicinity of</w:t>
      </w:r>
      <w:proofErr w:type="gramEnd"/>
      <w:r>
        <w:t xml:space="preserve"> Chicago. This </w:t>
      </w:r>
      <w:r w:rsidR="00F12523">
        <w:t>membership</w:t>
      </w:r>
      <w:r>
        <w:t xml:space="preserve"> to several networks </w:t>
      </w:r>
      <w:proofErr w:type="gramStart"/>
      <w:r>
        <w:t>will be compared</w:t>
      </w:r>
      <w:proofErr w:type="gramEnd"/>
      <w:r>
        <w:t xml:space="preserve"> to other cities among other initiatives and conclusion will be drawn on the relationship between the mandate and the participations in relevant initiatives.</w:t>
      </w:r>
    </w:p>
    <w:p w14:paraId="5B5334C7" w14:textId="169F7D80" w:rsidR="00D43CA1" w:rsidRDefault="00814B37" w:rsidP="00D43CA1">
      <w:pPr>
        <w:pStyle w:val="Heading3"/>
      </w:pPr>
      <w:r>
        <w:lastRenderedPageBreak/>
        <w:t>Overview</w:t>
      </w:r>
      <w:r w:rsidR="00FD49C7">
        <w:t xml:space="preserve"> of voluntary effort vs mandated benchmarking</w:t>
      </w:r>
      <w:r w:rsidR="00D43CA1">
        <w:t>:</w:t>
      </w:r>
    </w:p>
    <w:p w14:paraId="23EF8DAD" w14:textId="3F3B790B" w:rsidR="00FD49C7" w:rsidRDefault="00814B37" w:rsidP="00FD49C7">
      <w:r>
        <w:t>Several energy competitions</w:t>
      </w:r>
      <w:r w:rsidR="00FD49C7">
        <w:t xml:space="preserve"> </w:t>
      </w:r>
      <w:proofErr w:type="gramStart"/>
      <w:r w:rsidR="00FD49C7">
        <w:t>have been run</w:t>
      </w:r>
      <w:proofErr w:type="gramEnd"/>
      <w:r w:rsidR="00FD49C7">
        <w:t xml:space="preserve"> locally to motivate building owners to save energy.</w:t>
      </w:r>
    </w:p>
    <w:p w14:paraId="679B91FF" w14:textId="295D4651" w:rsidR="00FD49C7" w:rsidRPr="00FD49C7" w:rsidRDefault="00FD49C7" w:rsidP="00FD49C7">
      <w:r>
        <w:t>A regular argument against a mandate is that building owner</w:t>
      </w:r>
      <w:r w:rsidR="00814B37">
        <w:t>s</w:t>
      </w:r>
      <w:r>
        <w:t xml:space="preserve"> can benchmark </w:t>
      </w:r>
      <w:r w:rsidR="00B213E3">
        <w:t>their building</w:t>
      </w:r>
      <w:r>
        <w:t>s</w:t>
      </w:r>
      <w:r w:rsidR="00B213E3">
        <w:t xml:space="preserve"> on their own, and mandating it would not change their attitude </w:t>
      </w:r>
      <w:r w:rsidR="00B213E3">
        <w:fldChar w:fldCharType="begin"/>
      </w:r>
      <w:r w:rsidR="00B213E3">
        <w:instrText xml:space="preserve"> ADDIN ZOTERO_ITEM CSL_CITATION {"citationID":"foqp2KEG","properties":{"formattedCitation":"(Monisha Shah 2015)","plainCitation":"(Monisha Shah 2015)","noteIndex":0},"citationItems":[{"id":1178,"uris":["http://zotero.org/users/1410454/items/SCPBET3U"],"uri":["http://zotero.org/users/1410454/items/SCPBET3U"],"itemData":{"id":1178,"type":"speech","title":"Energy Data Accelerator Partners Workshop","author":[{"literal":"Monisha Shah"}],"issued":{"date-parts":[["2015",5]]}}}],"schema":"https://github.com/citation-style-language/schema/raw/master/csl-citation.json"} </w:instrText>
      </w:r>
      <w:r w:rsidR="00B213E3">
        <w:fldChar w:fldCharType="separate"/>
      </w:r>
      <w:r w:rsidR="00814B37">
        <w:rPr>
          <w:rFonts w:ascii="Calibri" w:hAnsi="Calibri" w:cs="Calibri"/>
        </w:rPr>
        <w:t>(</w:t>
      </w:r>
      <w:r w:rsidR="00B213E3" w:rsidRPr="00B213E3">
        <w:rPr>
          <w:rFonts w:ascii="Calibri" w:hAnsi="Calibri" w:cs="Calibri"/>
        </w:rPr>
        <w:t xml:space="preserve"> Shah 2015)</w:t>
      </w:r>
      <w:r w:rsidR="00B213E3">
        <w:fldChar w:fldCharType="end"/>
      </w:r>
      <w:r>
        <w:t>. Figure 9 illustrate</w:t>
      </w:r>
      <w:r w:rsidR="00B213E3">
        <w:t>s</w:t>
      </w:r>
      <w:r>
        <w:t xml:space="preserve"> the square footage of building</w:t>
      </w:r>
      <w:r w:rsidR="00B213E3">
        <w:t>s</w:t>
      </w:r>
      <w:r>
        <w:t xml:space="preserve"> participating in voluntary effort in cities with an ordinance</w:t>
      </w:r>
      <w:r w:rsidR="006313A5">
        <w:t xml:space="preserve">. It </w:t>
      </w:r>
      <w:proofErr w:type="gramStart"/>
      <w:r w:rsidR="006313A5">
        <w:t>is contrasted</w:t>
      </w:r>
      <w:proofErr w:type="gramEnd"/>
      <w:r w:rsidR="006313A5">
        <w:t xml:space="preserve"> to</w:t>
      </w:r>
      <w:r>
        <w:t xml:space="preserve"> the square footage required to report their energy use to the municipality</w:t>
      </w:r>
      <w:r w:rsidR="006313A5">
        <w:t xml:space="preserve"> under an ordinance</w:t>
      </w:r>
      <w:r>
        <w:t>.</w:t>
      </w:r>
    </w:p>
    <w:p w14:paraId="1E4F8273" w14:textId="15E53D12" w:rsidR="00D43CA1" w:rsidRDefault="00A17310" w:rsidP="00D43CA1">
      <w:r>
        <w:rPr>
          <w:noProof/>
        </w:rPr>
        <w:drawing>
          <wp:inline distT="0" distB="0" distL="0" distR="0" wp14:anchorId="1664904B" wp14:editId="670448FC">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BFD812" w14:textId="5DCCB4D4" w:rsidR="00FD49C7" w:rsidRDefault="00FD49C7" w:rsidP="00FD49C7">
      <w:pPr>
        <w:pStyle w:val="Caption"/>
      </w:pPr>
      <w:bookmarkStart w:id="30" w:name="_Toc532165411"/>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9</w:t>
      </w:r>
      <w:r w:rsidR="00461074">
        <w:rPr>
          <w:noProof/>
        </w:rPr>
        <w:fldChar w:fldCharType="end"/>
      </w:r>
      <w:r>
        <w:t xml:space="preserve"> square footage covered by voluntary effort compared to an ordinance</w:t>
      </w:r>
      <w:bookmarkEnd w:id="30"/>
    </w:p>
    <w:p w14:paraId="730BCB53" w14:textId="1784335B" w:rsidR="00FD49C7" w:rsidRDefault="00FD49C7" w:rsidP="00FD49C7"/>
    <w:p w14:paraId="45B2F536" w14:textId="452B21FD" w:rsidR="00FD49C7" w:rsidRDefault="00814B37" w:rsidP="00FD49C7">
      <w:r>
        <w:rPr>
          <w:noProof/>
        </w:rPr>
        <mc:AlternateContent>
          <mc:Choice Requires="wps">
            <w:drawing>
              <wp:anchor distT="45720" distB="45720" distL="114300" distR="114300" simplePos="0" relativeHeight="251698688" behindDoc="0" locked="0" layoutInCell="1" allowOverlap="1" wp14:anchorId="6DAF717F" wp14:editId="57A98CBF">
                <wp:simplePos x="0" y="0"/>
                <wp:positionH relativeFrom="column">
                  <wp:posOffset>-38100</wp:posOffset>
                </wp:positionH>
                <wp:positionV relativeFrom="paragraph">
                  <wp:posOffset>901065</wp:posOffset>
                </wp:positionV>
                <wp:extent cx="5821680" cy="1404620"/>
                <wp:effectExtent l="0" t="0" r="2667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404620"/>
                        </a:xfrm>
                        <a:prstGeom prst="rect">
                          <a:avLst/>
                        </a:prstGeom>
                        <a:solidFill>
                          <a:schemeClr val="bg1">
                            <a:lumMod val="85000"/>
                          </a:schemeClr>
                        </a:solidFill>
                        <a:ln w="9525">
                          <a:solidFill>
                            <a:srgbClr val="000000"/>
                          </a:solidFill>
                          <a:miter lim="800000"/>
                          <a:headEnd/>
                          <a:tailEnd/>
                        </a:ln>
                      </wps:spPr>
                      <wps:txbx>
                        <w:txbxContent>
                          <w:p w14:paraId="2A425668" w14:textId="0149995A" w:rsidR="00814B37" w:rsidRDefault="00814B37">
                            <w:r w:rsidRPr="00814B37">
                              <w:rPr>
                                <w:b/>
                              </w:rPr>
                              <w:t>Findings:</w:t>
                            </w:r>
                            <w:r>
                              <w:t xml:space="preserve"> Ordinances </w:t>
                            </w:r>
                            <w:proofErr w:type="gramStart"/>
                            <w:r>
                              <w:t>impact</w:t>
                            </w:r>
                            <w:proofErr w:type="gramEnd"/>
                            <w:r>
                              <w:t xml:space="preserve"> a much larger square footage of buildings than voluntary effort.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F717F" id="_x0000_s1029" type="#_x0000_t202" style="position:absolute;margin-left:-3pt;margin-top:70.95pt;width:458.4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" fillcolor="#d8d8d8 [2732]">
                <v:textbox style="mso-fit-shape-to-text:t">
                  <w:txbxContent>
                    <w:p w14:paraId="2A425668" w14:textId="0149995A" w:rsidR="00814B37" w:rsidRDefault="00814B37">
                      <w:r w:rsidRPr="00814B37">
                        <w:rPr>
                          <w:b/>
                        </w:rPr>
                        <w:t>Findings:</w:t>
                      </w:r>
                      <w:r>
                        <w:t xml:space="preserve"> Ordinances </w:t>
                      </w:r>
                      <w:proofErr w:type="gramStart"/>
                      <w:r>
                        <w:t>impact</w:t>
                      </w:r>
                      <w:proofErr w:type="gramEnd"/>
                      <w:r>
                        <w:t xml:space="preserve"> a much larger square footage of buildings than voluntary effort.</w:t>
                      </w:r>
                    </w:p>
                  </w:txbxContent>
                </v:textbox>
                <w10:wrap type="square"/>
              </v:shape>
            </w:pict>
          </mc:Fallback>
        </mc:AlternateContent>
      </w:r>
      <w:r w:rsidR="00A17310">
        <w:t xml:space="preserve">As evident in figure 9, the </w:t>
      </w:r>
      <w:r w:rsidR="00FD49C7">
        <w:t>area of buildings impacted by an ordinance is more important than participation in a voluntary effort. Consequently, an ordinance is more likely to increase the awareness of more building owners with regard to energy use than a voluntary effort.</w:t>
      </w:r>
    </w:p>
    <w:p w14:paraId="7D9574B7" w14:textId="4687072D" w:rsidR="00814B37" w:rsidRDefault="00814B37" w:rsidP="00FD49C7"/>
    <w:p w14:paraId="3556C335" w14:textId="23FBC606" w:rsidR="00FD49C7" w:rsidRDefault="00814B37" w:rsidP="00F12523">
      <w:pPr>
        <w:pStyle w:val="Heading3"/>
      </w:pPr>
      <w:r>
        <w:br w:type="page"/>
      </w:r>
      <w:r w:rsidR="00FD49C7">
        <w:t>Duration of voluntary energy competitions</w:t>
      </w:r>
    </w:p>
    <w:p w14:paraId="68E2D919" w14:textId="0FAF8C17" w:rsidR="00FD49C7" w:rsidRPr="00FD49C7" w:rsidRDefault="00F12523" w:rsidP="00FD49C7">
      <w:proofErr w:type="gramStart"/>
      <w:r>
        <w:t xml:space="preserve">Several </w:t>
      </w:r>
      <w:proofErr w:type="spellStart"/>
      <w:r w:rsidR="00FD49C7">
        <w:t>nergy</w:t>
      </w:r>
      <w:proofErr w:type="spellEnd"/>
      <w:r w:rsidR="00FD49C7">
        <w:t xml:space="preserve"> competitions have been launch</w:t>
      </w:r>
      <w:r w:rsidR="008D65FC">
        <w:t>ed</w:t>
      </w:r>
      <w:r w:rsidR="006313A5">
        <w:t xml:space="preserve"> by local</w:t>
      </w:r>
      <w:r w:rsidR="00FD49C7">
        <w:t xml:space="preserve"> building owners and managers associations</w:t>
      </w:r>
      <w:r w:rsidR="00814B37">
        <w:t xml:space="preserve"> </w:t>
      </w:r>
      <w:r w:rsidR="006313A5">
        <w:t>(BOMA)</w:t>
      </w:r>
      <w:r w:rsidR="008D65FC">
        <w:t xml:space="preserve"> following competition</w:t>
      </w:r>
      <w:r w:rsidR="00FD49C7">
        <w:t xml:space="preserve"> model</w:t>
      </w:r>
      <w:r w:rsidR="006313A5">
        <w:t>s</w:t>
      </w:r>
      <w:r w:rsidR="008D65FC">
        <w:t xml:space="preserve"> designed by BOMA</w:t>
      </w:r>
      <w:r>
        <w:t xml:space="preserve"> such as the 7 points challenge or the kW crackdown</w:t>
      </w:r>
      <w:proofErr w:type="gramEnd"/>
      <w:r w:rsidR="008D65FC">
        <w:t xml:space="preserve">. In other places, the competition is </w:t>
      </w:r>
      <w:r>
        <w:t xml:space="preserve">run </w:t>
      </w:r>
      <w:proofErr w:type="gramStart"/>
      <w:r>
        <w:t xml:space="preserve">by </w:t>
      </w:r>
      <w:r w:rsidR="008D65FC">
        <w:t xml:space="preserve"> non</w:t>
      </w:r>
      <w:proofErr w:type="gramEnd"/>
      <w:r w:rsidR="008D65FC">
        <w:t>-profit</w:t>
      </w:r>
      <w:r>
        <w:t xml:space="preserve"> organizations</w:t>
      </w:r>
      <w:r w:rsidR="008D65FC">
        <w:t xml:space="preserve"> using the</w:t>
      </w:r>
      <w:r w:rsidR="00FD49C7">
        <w:t xml:space="preserve"> Better Building framework</w:t>
      </w:r>
      <w:r>
        <w:t xml:space="preserve"> </w:t>
      </w:r>
      <w:r w:rsidR="006313A5">
        <w:t>or a point system developed in-house</w:t>
      </w:r>
      <w:r w:rsidR="00FD49C7">
        <w:t>.</w:t>
      </w:r>
    </w:p>
    <w:p w14:paraId="10A4F967" w14:textId="7F26931D" w:rsidR="00992C6D" w:rsidRDefault="0012228E" w:rsidP="00CF7515">
      <w:r>
        <w:rPr>
          <w:noProof/>
        </w:rPr>
        <w:drawing>
          <wp:inline distT="0" distB="0" distL="0" distR="0" wp14:anchorId="2DCC6BAC" wp14:editId="03D78C1B">
            <wp:extent cx="5943600" cy="2918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14:paraId="37D32F65" w14:textId="066A2983" w:rsidR="00D4323B" w:rsidRDefault="00D4323B" w:rsidP="00D4323B">
      <w:pPr>
        <w:pStyle w:val="Caption"/>
      </w:pPr>
      <w:bookmarkStart w:id="31" w:name="_Toc532165412"/>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10</w:t>
      </w:r>
      <w:r w:rsidR="00461074">
        <w:rPr>
          <w:noProof/>
        </w:rPr>
        <w:fldChar w:fldCharType="end"/>
      </w:r>
      <w:r>
        <w:t xml:space="preserve"> Durations of various energy competitions and </w:t>
      </w:r>
      <w:proofErr w:type="spellStart"/>
      <w:r>
        <w:t>enactement</w:t>
      </w:r>
      <w:proofErr w:type="spellEnd"/>
      <w:r>
        <w:t xml:space="preserve"> of a benchmarking ordinance.</w:t>
      </w:r>
      <w:bookmarkEnd w:id="31"/>
    </w:p>
    <w:p w14:paraId="4C97B317" w14:textId="77777777" w:rsidR="00F12523" w:rsidRDefault="00F12523" w:rsidP="00D4323B">
      <w:r>
        <w:t xml:space="preserve">There seems to be more on-going competitions in </w:t>
      </w:r>
      <w:proofErr w:type="gramStart"/>
      <w:r>
        <w:t>cities  that</w:t>
      </w:r>
      <w:proofErr w:type="gramEnd"/>
      <w:r>
        <w:t xml:space="preserve"> have passed a benchmarking ordinance. Preliminary research indicates that energy competitions might be more successful in cities with ordinances. Additional research is needed to </w:t>
      </w:r>
      <w:proofErr w:type="gramStart"/>
      <w:r>
        <w:t>corroborates</w:t>
      </w:r>
      <w:proofErr w:type="gramEnd"/>
      <w:r>
        <w:t xml:space="preserve"> this observation.</w:t>
      </w:r>
    </w:p>
    <w:p w14:paraId="2453ECBB" w14:textId="1D6DE868" w:rsidR="00D4323B" w:rsidRDefault="00D4323B" w:rsidP="00D4323B">
      <w:r>
        <w:t xml:space="preserve"> </w:t>
      </w:r>
      <w:r w:rsidR="00F12523">
        <w:t xml:space="preserve"> There is evidence that s</w:t>
      </w:r>
      <w:r w:rsidR="006313A5">
        <w:t xml:space="preserve">everal </w:t>
      </w:r>
      <w:r w:rsidR="00F12523">
        <w:t>v</w:t>
      </w:r>
      <w:r>
        <w:t>oluntary effort</w:t>
      </w:r>
      <w:r w:rsidR="00F12523">
        <w:t>s</w:t>
      </w:r>
      <w:r>
        <w:t xml:space="preserve"> have had trouble findi</w:t>
      </w:r>
      <w:r w:rsidR="006313A5">
        <w:t xml:space="preserve">ng an active audience and </w:t>
      </w:r>
      <w:r w:rsidR="00F12523">
        <w:t xml:space="preserve">did not </w:t>
      </w:r>
      <w:r w:rsidR="006313A5">
        <w:t>last over</w:t>
      </w:r>
      <w:r>
        <w:t xml:space="preserve"> time </w:t>
      </w:r>
      <w:r w:rsidR="00F12523">
        <w:t xml:space="preserve">in places without an ordinance. In </w:t>
      </w:r>
      <w:r>
        <w:t xml:space="preserve">locations such as Salt Lake City and Orlando, voluntary effort were launched prior to considering </w:t>
      </w:r>
      <w:proofErr w:type="gramStart"/>
      <w:r>
        <w:t>an ordinances</w:t>
      </w:r>
      <w:proofErr w:type="gramEnd"/>
      <w:r>
        <w:t xml:space="preserve"> and were not successful. This lack of success motivated the local government to mandate benchmarking.</w:t>
      </w:r>
      <w:r w:rsidRPr="00D43CA1">
        <w:t xml:space="preserve"> </w:t>
      </w:r>
      <w:proofErr w:type="spellStart"/>
      <w:r w:rsidRPr="00992C6D">
        <w:t>Lehua</w:t>
      </w:r>
      <w:proofErr w:type="spellEnd"/>
      <w:r w:rsidRPr="00992C6D">
        <w:t xml:space="preserve"> Weaver,</w:t>
      </w:r>
      <w:r>
        <w:t xml:space="preserve"> a</w:t>
      </w:r>
      <w:r w:rsidRPr="00992C6D">
        <w:t xml:space="preserve"> Salt Lake City Budget &amp; Policy Analyst</w:t>
      </w:r>
      <w:r>
        <w:t xml:space="preserve"> described in a memo for city council supporting the benchmarking ordinance that the voluntary effort </w:t>
      </w:r>
      <w:r w:rsidR="00BB6DF2">
        <w:t xml:space="preserve">garnered participation from only 2% of commercial </w:t>
      </w:r>
      <w:proofErr w:type="spellStart"/>
      <w:r w:rsidR="00BB6DF2">
        <w:t>buidings</w:t>
      </w:r>
      <w:proofErr w:type="spellEnd"/>
      <w:r w:rsidR="00BB6DF2">
        <w:t>.</w:t>
      </w:r>
    </w:p>
    <w:p w14:paraId="42AD7CFA" w14:textId="1427706C" w:rsidR="00D4323B" w:rsidRPr="00992C6D" w:rsidRDefault="00D4323B" w:rsidP="00D4323B">
      <w:r w:rsidRPr="00D43CA1">
        <w:t xml:space="preserve"> </w:t>
      </w:r>
      <w:r w:rsidRPr="00992C6D">
        <w:t>“Participation in the existing voluntary program has not produced the desired results, and the ordinance would implement the program through a required participation”</w:t>
      </w:r>
      <w:r w:rsidR="00B62793">
        <w:t>.</w:t>
      </w:r>
    </w:p>
    <w:p w14:paraId="14A061C2" w14:textId="058FC908" w:rsidR="006313A5" w:rsidRDefault="006313A5" w:rsidP="00D4323B">
      <w:r>
        <w:t xml:space="preserve"> In Orlando, </w:t>
      </w:r>
      <w:r w:rsidR="00B62793">
        <w:t xml:space="preserve">Only 25 buildings </w:t>
      </w:r>
      <w:r w:rsidR="00F12523">
        <w:t>out 1800 signed-</w:t>
      </w:r>
      <w:proofErr w:type="gramStart"/>
      <w:r w:rsidR="00B62793">
        <w:t>up</w:t>
      </w:r>
      <w:r w:rsidR="00D4323B" w:rsidRPr="00992C6D">
        <w:t xml:space="preserve"> </w:t>
      </w:r>
      <w:r w:rsidR="00F12523">
        <w:t>,</w:t>
      </w:r>
      <w:r w:rsidR="00D4323B" w:rsidRPr="00992C6D">
        <w:t>achieved</w:t>
      </w:r>
      <w:proofErr w:type="gramEnd"/>
      <w:r w:rsidR="00814B37">
        <w:t xml:space="preserve"> </w:t>
      </w:r>
      <w:r w:rsidR="00BB6DF2">
        <w:t xml:space="preserve">the </w:t>
      </w:r>
      <w:r w:rsidR="00D4323B" w:rsidRPr="00992C6D">
        <w:t xml:space="preserve"> goal of reducing 10% of energy and water use”</w:t>
      </w:r>
      <w:r>
        <w:t xml:space="preserve"> over a 3 year pilot competitio</w:t>
      </w:r>
      <w:r w:rsidR="00BB6DF2">
        <w:t xml:space="preserve">n </w:t>
      </w:r>
      <w:r w:rsidR="00B62793" w:rsidRPr="00B62793">
        <w:rPr>
          <w:rFonts w:ascii="Calibri" w:hAnsi="Calibri" w:cs="Calibri"/>
        </w:rPr>
        <w:t>(</w:t>
      </w:r>
      <w:proofErr w:type="spellStart"/>
      <w:r w:rsidR="00B62793" w:rsidRPr="00B62793">
        <w:rPr>
          <w:rFonts w:ascii="Calibri" w:hAnsi="Calibri" w:cs="Calibri"/>
        </w:rPr>
        <w:t>Greenworks</w:t>
      </w:r>
      <w:proofErr w:type="spellEnd"/>
      <w:r w:rsidR="00B62793" w:rsidRPr="00B62793">
        <w:rPr>
          <w:rFonts w:ascii="Calibri" w:hAnsi="Calibri" w:cs="Calibri"/>
        </w:rPr>
        <w:t xml:space="preserve"> Orlando 2016)</w:t>
      </w:r>
      <w:r w:rsidR="00BB6DF2">
        <w:rPr>
          <w:rFonts w:ascii="Calibri" w:hAnsi="Calibri" w:cs="Calibri"/>
        </w:rPr>
        <w:t xml:space="preserve">. </w:t>
      </w:r>
      <w:r w:rsidR="00BB6DF2">
        <w:t>The city went on to mandate benchmarking</w:t>
      </w:r>
      <w:r w:rsidR="00BB6DF2">
        <w:t>.</w:t>
      </w:r>
      <w:r w:rsidR="00BB6DF2">
        <w:t xml:space="preserve">   </w:t>
      </w:r>
      <w:r w:rsidR="00B62793">
        <w:t xml:space="preserve"> </w:t>
      </w:r>
    </w:p>
    <w:p w14:paraId="1147EE0F" w14:textId="77777777" w:rsidR="006313A5" w:rsidRDefault="006313A5">
      <w:r>
        <w:br w:type="page"/>
      </w:r>
    </w:p>
    <w:p w14:paraId="24008F94" w14:textId="1B2E1C90" w:rsidR="00992C6D" w:rsidRDefault="006313A5" w:rsidP="006313A5">
      <w:pPr>
        <w:pStyle w:val="Heading3"/>
      </w:pPr>
      <w:r>
        <w:lastRenderedPageBreak/>
        <w:t>Network</w:t>
      </w:r>
      <w:r w:rsidR="00F12523">
        <w:t>s</w:t>
      </w:r>
      <w:r>
        <w:t xml:space="preserve"> created new content</w:t>
      </w:r>
    </w:p>
    <w:p w14:paraId="5902E77E" w14:textId="635ED36A" w:rsidR="006313A5" w:rsidRDefault="006313A5" w:rsidP="006313A5"/>
    <w:p w14:paraId="47E17F12" w14:textId="2126B13E" w:rsidR="006313A5" w:rsidRDefault="006313A5" w:rsidP="006313A5">
      <w:r>
        <w:t>Often, the knowledge generated by the interaction</w:t>
      </w:r>
      <w:r w:rsidR="00F12523">
        <w:t>s</w:t>
      </w:r>
      <w:r>
        <w:t xml:space="preserve"> among stakeholder le</w:t>
      </w:r>
      <w:r w:rsidR="00F12523">
        <w:t>a</w:t>
      </w:r>
      <w:r>
        <w:t xml:space="preserve">d to the creation of </w:t>
      </w:r>
      <w:proofErr w:type="spellStart"/>
      <w:r>
        <w:t>ressources</w:t>
      </w:r>
      <w:proofErr w:type="spellEnd"/>
      <w:r>
        <w:t xml:space="preserve"> to support others.  </w:t>
      </w:r>
    </w:p>
    <w:p w14:paraId="646A69DE" w14:textId="34AB6164" w:rsidR="00F12523" w:rsidRDefault="00F12523" w:rsidP="006313A5">
      <w:r>
        <w:t>During the Energy Data Accelerator, 20 utilities developed recommendation for best practices to providing data access for benchmarking</w:t>
      </w:r>
      <w:r w:rsidR="004C6FC5">
        <w:t>. The best practices are:</w:t>
      </w:r>
    </w:p>
    <w:p w14:paraId="728E6BE6" w14:textId="2E72D19A" w:rsidR="004C6FC5" w:rsidRDefault="004C6FC5" w:rsidP="004C6FC5">
      <w:pPr>
        <w:pStyle w:val="ListParagraph"/>
        <w:numPr>
          <w:ilvl w:val="0"/>
          <w:numId w:val="16"/>
        </w:numPr>
      </w:pPr>
      <w:r>
        <w:t xml:space="preserve">streamlined </w:t>
      </w:r>
      <w:r w:rsidRPr="004C6FC5">
        <w:t xml:space="preserve"> tenant consent/authorization process</w:t>
      </w:r>
    </w:p>
    <w:p w14:paraId="2619A860" w14:textId="3E7077F9" w:rsidR="004C6FC5" w:rsidRDefault="004C6FC5" w:rsidP="004C6FC5">
      <w:pPr>
        <w:pStyle w:val="ListParagraph"/>
        <w:numPr>
          <w:ilvl w:val="0"/>
          <w:numId w:val="16"/>
        </w:numPr>
      </w:pPr>
      <w:proofErr w:type="gramStart"/>
      <w:r w:rsidRPr="004C6FC5">
        <w:t>streamlined</w:t>
      </w:r>
      <w:proofErr w:type="gramEnd"/>
      <w:r w:rsidRPr="004C6FC5">
        <w:t xml:space="preserve"> transfer of utility bill data to benchmarking tools</w:t>
      </w:r>
      <w:r>
        <w:t>.</w:t>
      </w:r>
    </w:p>
    <w:p w14:paraId="5D8CD196" w14:textId="3F5F2AE6" w:rsidR="006313A5" w:rsidRDefault="004C6FC5" w:rsidP="00CE022C">
      <w:pPr>
        <w:pStyle w:val="ListParagraph"/>
        <w:numPr>
          <w:ilvl w:val="0"/>
          <w:numId w:val="16"/>
        </w:numPr>
      </w:pPr>
      <w:r>
        <w:t>in</w:t>
      </w:r>
      <w:r w:rsidRPr="004C6FC5">
        <w:t>clude the capability to assist building owners with accurately mapping meters to building</w:t>
      </w:r>
    </w:p>
    <w:p w14:paraId="40FDA275" w14:textId="44918550" w:rsidR="004C6FC5" w:rsidRDefault="004C6FC5" w:rsidP="004C6FC5">
      <w:r>
        <w:t xml:space="preserve">The commitment of these 20 utilities to have the best practices available to their customers by 2017 </w:t>
      </w:r>
      <w:proofErr w:type="gramStart"/>
      <w:r>
        <w:t>is illustrated</w:t>
      </w:r>
      <w:proofErr w:type="gramEnd"/>
      <w:r>
        <w:t xml:space="preserve"> below.</w:t>
      </w:r>
    </w:p>
    <w:p w14:paraId="65DD11F3" w14:textId="796A4A89" w:rsidR="00E32985" w:rsidRDefault="00E32985" w:rsidP="00E32985">
      <w:r>
        <w:rPr>
          <w:noProof/>
        </w:rPr>
        <w:drawing>
          <wp:inline distT="0" distB="0" distL="0" distR="0" wp14:anchorId="6D068FAF" wp14:editId="2FC328CF">
            <wp:extent cx="5935980" cy="20574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057400"/>
                    </a:xfrm>
                    <a:prstGeom prst="rect">
                      <a:avLst/>
                    </a:prstGeom>
                    <a:noFill/>
                    <a:ln>
                      <a:noFill/>
                    </a:ln>
                  </pic:spPr>
                </pic:pic>
              </a:graphicData>
            </a:graphic>
          </wp:inline>
        </w:drawing>
      </w:r>
    </w:p>
    <w:p w14:paraId="7DBA7535" w14:textId="5D0584E0" w:rsidR="006313A5" w:rsidRPr="002E24C0" w:rsidRDefault="006313A5" w:rsidP="006313A5">
      <w:pPr>
        <w:pStyle w:val="Caption"/>
      </w:pPr>
      <w:bookmarkStart w:id="32" w:name="_Toc532165413"/>
      <w:r>
        <w:t xml:space="preserve">Figure </w:t>
      </w:r>
      <w:r>
        <w:fldChar w:fldCharType="begin"/>
      </w:r>
      <w:r>
        <w:instrText xml:space="preserve"> SEQ Figure \* ARABIC </w:instrText>
      </w:r>
      <w:r>
        <w:fldChar w:fldCharType="separate"/>
      </w:r>
      <w:r w:rsidR="00121B40">
        <w:rPr>
          <w:noProof/>
        </w:rPr>
        <w:t>11</w:t>
      </w:r>
      <w:r>
        <w:fldChar w:fldCharType="end"/>
      </w:r>
      <w:r>
        <w:t>: Best practices developed by Energy Data Accelerators partners</w:t>
      </w:r>
      <w:bookmarkEnd w:id="32"/>
    </w:p>
    <w:p w14:paraId="12481FF1" w14:textId="26E9F6DF" w:rsidR="00992C6D" w:rsidRDefault="00992C6D" w:rsidP="00CF7515"/>
    <w:p w14:paraId="78B08D31" w14:textId="313DA6C2" w:rsidR="006313A5" w:rsidRDefault="004C6FC5" w:rsidP="00CF7515">
      <w:proofErr w:type="gramStart"/>
      <w:r>
        <w:t>92%</w:t>
      </w:r>
      <w:proofErr w:type="gramEnd"/>
      <w:r>
        <w:t xml:space="preserve"> of the utility partners committed or were already providing streamlined tenants authorization for </w:t>
      </w:r>
      <w:r>
        <w:t>data access.</w:t>
      </w:r>
      <w:r>
        <w:t xml:space="preserve"> </w:t>
      </w:r>
      <w:proofErr w:type="gramStart"/>
      <w:r>
        <w:t>Utilities are often paid by the tenants</w:t>
      </w:r>
      <w:proofErr w:type="gramEnd"/>
      <w:r>
        <w:t xml:space="preserve"> and the process to aggregate the data to the whole-building levels created privacy concerns and the process created to overcome this issue were cumbersome. Utilities agreed that providing </w:t>
      </w:r>
      <w:proofErr w:type="gramStart"/>
      <w:r>
        <w:t>an</w:t>
      </w:r>
      <w:proofErr w:type="gramEnd"/>
      <w:r>
        <w:t xml:space="preserve"> simple online </w:t>
      </w:r>
      <w:r w:rsidR="00AE31A4">
        <w:t>solution to collect or waive the tenant consent need would facilitate the process of benchmarking.</w:t>
      </w:r>
    </w:p>
    <w:p w14:paraId="14E16BA0" w14:textId="5C4C9200" w:rsidR="004C6FC5" w:rsidRDefault="004C6FC5" w:rsidP="00CF7515">
      <w:r>
        <w:t>76</w:t>
      </w:r>
      <w:proofErr w:type="gramStart"/>
      <w:r>
        <w:t>%  provided</w:t>
      </w:r>
      <w:proofErr w:type="gramEnd"/>
      <w:r>
        <w:t xml:space="preserve"> streamlined  transfer of utility bills to benchmarking tools or would be able to do so by 2017.</w:t>
      </w:r>
      <w:r w:rsidR="00AE31A4">
        <w:t xml:space="preserve"> Many utilities were not using Green button capabilities and the energy data was only available on paper or by pdf or required manual download and data entry to Portfolio Managers. Utilities concluded that the process of transferring data from one database to </w:t>
      </w:r>
      <w:proofErr w:type="spellStart"/>
      <w:proofErr w:type="gramStart"/>
      <w:r w:rsidR="00AE31A4">
        <w:t>an other</w:t>
      </w:r>
      <w:proofErr w:type="spellEnd"/>
      <w:proofErr w:type="gramEnd"/>
      <w:r w:rsidR="00AE31A4">
        <w:t xml:space="preserve"> should be automated.</w:t>
      </w:r>
    </w:p>
    <w:p w14:paraId="1A6BEB29" w14:textId="49FEA5C2" w:rsidR="004C6FC5" w:rsidRDefault="004C6FC5" w:rsidP="00CF7515">
      <w:r>
        <w:t>64</w:t>
      </w:r>
      <w:proofErr w:type="gramStart"/>
      <w:r>
        <w:t>%  committed</w:t>
      </w:r>
      <w:proofErr w:type="gramEnd"/>
      <w:r>
        <w:t xml:space="preserve"> to accurately map meter to buildings.</w:t>
      </w:r>
      <w:r w:rsidR="00AE31A4">
        <w:t xml:space="preserve"> Utility meters </w:t>
      </w:r>
      <w:proofErr w:type="gramStart"/>
      <w:r w:rsidR="00AE31A4">
        <w:t>are linked to account holders but not necessarily connected back to their physical address</w:t>
      </w:r>
      <w:proofErr w:type="gramEnd"/>
      <w:r w:rsidR="00AE31A4">
        <w:t xml:space="preserve">. This reality made the fact of gathering and aggregating data at the whole building level challenging. Utilities agreed that meters should have more accurate geo-spatial information to ensure they </w:t>
      </w:r>
      <w:proofErr w:type="gramStart"/>
      <w:r w:rsidR="00AE31A4">
        <w:t>are linked</w:t>
      </w:r>
      <w:proofErr w:type="gramEnd"/>
      <w:r w:rsidR="00AE31A4">
        <w:t xml:space="preserve"> to the right physical address to support benchmarking.</w:t>
      </w:r>
    </w:p>
    <w:p w14:paraId="56DD973B" w14:textId="73AB06F7" w:rsidR="00AE31A4" w:rsidRDefault="00AE31A4" w:rsidP="00CF7515">
      <w:r>
        <w:t xml:space="preserve">These findings </w:t>
      </w:r>
      <w:proofErr w:type="gramStart"/>
      <w:r>
        <w:t>were made</w:t>
      </w:r>
      <w:proofErr w:type="gramEnd"/>
      <w:r>
        <w:t xml:space="preserve"> possible through the collaboration of the utilities partner in the Energy Data </w:t>
      </w:r>
      <w:proofErr w:type="spellStart"/>
      <w:r>
        <w:t>Accelerators.The</w:t>
      </w:r>
      <w:proofErr w:type="spellEnd"/>
      <w:r>
        <w:t xml:space="preserve"> adoption of these best practices will lead to better customer services. These increase the opportunities for customer awareness that ultimately create more investment in energy efficiency.</w:t>
      </w:r>
    </w:p>
    <w:p w14:paraId="3471B969" w14:textId="77777777" w:rsidR="00D4323B" w:rsidRDefault="00D4323B">
      <w:pPr>
        <w:rPr>
          <w:rFonts w:asciiTheme="majorHAnsi" w:eastAsiaTheme="majorEastAsia" w:hAnsiTheme="majorHAnsi" w:cstheme="majorBidi"/>
          <w:color w:val="365F91" w:themeColor="accent1" w:themeShade="BF"/>
          <w:sz w:val="26"/>
          <w:szCs w:val="26"/>
        </w:rPr>
      </w:pPr>
      <w:r>
        <w:br w:type="page"/>
      </w:r>
    </w:p>
    <w:p w14:paraId="73FE2927" w14:textId="7B769DA1" w:rsidR="00CF7515" w:rsidRDefault="00D4323B" w:rsidP="0061349A">
      <w:pPr>
        <w:pStyle w:val="Heading2"/>
      </w:pPr>
      <w:bookmarkStart w:id="33" w:name="_Toc532200751"/>
      <w:proofErr w:type="gramStart"/>
      <w:r>
        <w:lastRenderedPageBreak/>
        <w:t>H3</w:t>
      </w:r>
      <w:r w:rsidR="002E24C0">
        <w:t xml:space="preserve"> </w:t>
      </w:r>
      <w:r w:rsidR="00CF7515">
        <w:t>:</w:t>
      </w:r>
      <w:proofErr w:type="gramEnd"/>
      <w:r w:rsidR="00992C6D" w:rsidRPr="00992C6D">
        <w:rPr>
          <w:rFonts w:hAnsi="Corbel"/>
          <w:color w:val="4F81BD" w:themeColor="accent1"/>
          <w:kern w:val="24"/>
          <w:sz w:val="72"/>
          <w:szCs w:val="72"/>
        </w:rPr>
        <w:t xml:space="preserve"> </w:t>
      </w:r>
      <w:r w:rsidR="00992C6D" w:rsidRPr="00992C6D">
        <w:t>increase</w:t>
      </w:r>
      <w:r>
        <w:t>d</w:t>
      </w:r>
      <w:r w:rsidR="00992C6D" w:rsidRPr="00992C6D">
        <w:t xml:space="preserve"> energy </w:t>
      </w:r>
      <w:r w:rsidR="00666FE5">
        <w:t>efficiency</w:t>
      </w:r>
      <w:bookmarkEnd w:id="33"/>
    </w:p>
    <w:p w14:paraId="108A1444" w14:textId="77777777" w:rsidR="000C62C7" w:rsidRPr="000C62C7" w:rsidRDefault="000C62C7" w:rsidP="000C62C7"/>
    <w:p w14:paraId="595E9BD3" w14:textId="6983DEF3" w:rsidR="006313A5" w:rsidRDefault="006313A5" w:rsidP="00992C6D">
      <w:pPr>
        <w:rPr>
          <w:b/>
        </w:rPr>
      </w:pPr>
      <w:r w:rsidRPr="006313A5">
        <w:rPr>
          <w:b/>
        </w:rPr>
        <w:t xml:space="preserve">Benchmarking and Transparency ordinances </w:t>
      </w:r>
      <w:r>
        <w:rPr>
          <w:b/>
        </w:rPr>
        <w:t>improve</w:t>
      </w:r>
      <w:r w:rsidRPr="006313A5">
        <w:rPr>
          <w:b/>
        </w:rPr>
        <w:t xml:space="preserve"> building </w:t>
      </w:r>
      <w:proofErr w:type="gramStart"/>
      <w:r>
        <w:rPr>
          <w:b/>
        </w:rPr>
        <w:t xml:space="preserve">energy </w:t>
      </w:r>
      <w:r w:rsidRPr="006313A5">
        <w:rPr>
          <w:b/>
        </w:rPr>
        <w:t xml:space="preserve"> </w:t>
      </w:r>
      <w:r>
        <w:rPr>
          <w:b/>
        </w:rPr>
        <w:t>use</w:t>
      </w:r>
      <w:proofErr w:type="gramEnd"/>
      <w:r>
        <w:rPr>
          <w:b/>
        </w:rPr>
        <w:t>.</w:t>
      </w:r>
    </w:p>
    <w:p w14:paraId="7E9E5C89" w14:textId="77777777" w:rsidR="000C62C7" w:rsidRDefault="000C62C7" w:rsidP="000C62C7">
      <w:pPr>
        <w:pStyle w:val="Heading3"/>
      </w:pPr>
      <w:r>
        <w:t>Methodology</w:t>
      </w:r>
    </w:p>
    <w:p w14:paraId="0AE5168A" w14:textId="6DCADC44" w:rsidR="00992C6D" w:rsidRPr="00992C6D" w:rsidRDefault="0061349A" w:rsidP="00992C6D">
      <w:r>
        <w:t xml:space="preserve">In exploring my final hypothesis, I will use </w:t>
      </w:r>
      <w:proofErr w:type="spellStart"/>
      <w:r>
        <w:t>Energystar</w:t>
      </w:r>
      <w:proofErr w:type="spellEnd"/>
      <w:r>
        <w:t xml:space="preserve"> score</w:t>
      </w:r>
      <w:r w:rsidR="007203EE">
        <w:t xml:space="preserve"> as a proxy for EUI and will </w:t>
      </w:r>
      <w:proofErr w:type="spellStart"/>
      <w:r w:rsidR="007203EE">
        <w:t>analyse</w:t>
      </w:r>
      <w:proofErr w:type="spellEnd"/>
      <w:r w:rsidR="007203EE">
        <w:t xml:space="preserve"> if changes in score are great</w:t>
      </w:r>
      <w:r>
        <w:t>er in cities after passing an ordinances. Better improvement of score would sup</w:t>
      </w:r>
      <w:r w:rsidR="007203EE">
        <w:t>port the commonly accepted idea</w:t>
      </w:r>
      <w:r>
        <w:t xml:space="preserve"> that or</w:t>
      </w:r>
      <w:r w:rsidR="00992C6D" w:rsidRPr="00992C6D">
        <w:t xml:space="preserve">dinances create a consistency and transparency that </w:t>
      </w:r>
      <w:r>
        <w:t>lead to</w:t>
      </w:r>
      <w:r w:rsidR="00992C6D" w:rsidRPr="00992C6D">
        <w:t xml:space="preserve"> faster adoption of new energy efficiency measures</w:t>
      </w:r>
      <w:r>
        <w:t xml:space="preserve"> and improve energy performance of the buildings.</w:t>
      </w:r>
    </w:p>
    <w:p w14:paraId="68F7C0FD" w14:textId="585D5948" w:rsidR="00992C6D" w:rsidRDefault="0061349A" w:rsidP="000C62C7">
      <w:pPr>
        <w:pStyle w:val="Heading4"/>
      </w:pPr>
      <w:r>
        <w:t>Selection of the Dataset for analysis</w:t>
      </w:r>
    </w:p>
    <w:p w14:paraId="1036F8B3" w14:textId="2880B487" w:rsidR="0061349A" w:rsidRDefault="0061349A" w:rsidP="0061349A">
      <w:r>
        <w:t xml:space="preserve">There are currently </w:t>
      </w:r>
      <w:proofErr w:type="gramStart"/>
      <w:r>
        <w:t>5</w:t>
      </w:r>
      <w:proofErr w:type="gramEnd"/>
      <w:r>
        <w:t xml:space="preserve"> datasets that could be used to evaluate the impact of benchmarking ordinance.</w:t>
      </w:r>
    </w:p>
    <w:p w14:paraId="68EA3203" w14:textId="265121F3" w:rsidR="0061349A" w:rsidRDefault="0061349A" w:rsidP="0061349A">
      <w:r w:rsidRPr="00BE77EA">
        <w:rPr>
          <w:b/>
          <w:noProof/>
        </w:rPr>
        <w:drawing>
          <wp:anchor distT="0" distB="0" distL="114300" distR="114300" simplePos="0" relativeHeight="251631104" behindDoc="0" locked="0" layoutInCell="1" allowOverlap="1" wp14:anchorId="157D41CA" wp14:editId="7C8DD9CB">
            <wp:simplePos x="0" y="0"/>
            <wp:positionH relativeFrom="column">
              <wp:posOffset>3962400</wp:posOffset>
            </wp:positionH>
            <wp:positionV relativeFrom="paragraph">
              <wp:posOffset>153670</wp:posOffset>
            </wp:positionV>
            <wp:extent cx="1957705" cy="967105"/>
            <wp:effectExtent l="0" t="0" r="4445" b="4445"/>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0" cstate="print">
                      <a:extLst>
                        <a:ext uri="{28A0092B-C50C-407E-A947-70E740481C1C}">
                          <a14:useLocalDpi xmlns:a14="http://schemas.microsoft.com/office/drawing/2010/main" val="0"/>
                        </a:ext>
                      </a:extLst>
                    </a:blip>
                    <a:srcRect t="24307" b="26308"/>
                    <a:stretch/>
                  </pic:blipFill>
                  <pic:spPr>
                    <a:xfrm>
                      <a:off x="0" y="0"/>
                      <a:ext cx="1957705" cy="967105"/>
                    </a:xfrm>
                    <a:prstGeom prst="rect">
                      <a:avLst/>
                    </a:prstGeom>
                  </pic:spPr>
                </pic:pic>
              </a:graphicData>
            </a:graphic>
          </wp:anchor>
        </w:drawing>
      </w:r>
      <w:r w:rsidRPr="00BE77EA">
        <w:rPr>
          <w:b/>
        </w:rPr>
        <w:t>The Costar database</w:t>
      </w:r>
      <w:r>
        <w:t>:</w:t>
      </w:r>
    </w:p>
    <w:p w14:paraId="5225C78D" w14:textId="2065DC10" w:rsidR="0061349A" w:rsidRPr="0061349A" w:rsidRDefault="0061349A" w:rsidP="0061349A">
      <w:r>
        <w:t>This database is the #1 reference in real estate to collect information about buildings characteristics.</w:t>
      </w:r>
      <w:r w:rsidR="00D4323B">
        <w:t xml:space="preserve"> This private database is accessible only through paid membership.</w:t>
      </w:r>
      <w:r>
        <w:t xml:space="preserve"> Costar just signed a partnership to include benchmarking info in its dataset for cities with benchmarking ordinances.</w:t>
      </w:r>
      <w:r w:rsidR="00D4323B">
        <w:t xml:space="preserve"> It does not include energy data for buildings without benchmarking and transparency ordinance. </w:t>
      </w:r>
      <w:r>
        <w:t xml:space="preserve">Therefore it does not offer an option for a control group and cannot be used for this research </w:t>
      </w:r>
    </w:p>
    <w:p w14:paraId="6DF90E47" w14:textId="77777777" w:rsidR="0061349A" w:rsidRDefault="0061349A" w:rsidP="00992C6D"/>
    <w:p w14:paraId="34AC08F5" w14:textId="771B04E2" w:rsidR="0061349A" w:rsidRPr="00BE77EA" w:rsidRDefault="0061349A" w:rsidP="00992C6D">
      <w:pPr>
        <w:rPr>
          <w:b/>
        </w:rPr>
      </w:pPr>
      <w:r w:rsidRPr="00BE77EA">
        <w:rPr>
          <w:b/>
        </w:rPr>
        <w:t xml:space="preserve">The National </w:t>
      </w:r>
      <w:r w:rsidRPr="00BE77EA">
        <w:rPr>
          <w:b/>
          <w:noProof/>
        </w:rPr>
        <w:drawing>
          <wp:anchor distT="0" distB="0" distL="114300" distR="114300" simplePos="0" relativeHeight="251644416" behindDoc="0" locked="0" layoutInCell="1" allowOverlap="1" wp14:anchorId="5F5152D8" wp14:editId="53A0B702">
            <wp:simplePos x="0" y="0"/>
            <wp:positionH relativeFrom="column">
              <wp:posOffset>3698166</wp:posOffset>
            </wp:positionH>
            <wp:positionV relativeFrom="paragraph">
              <wp:posOffset>10795</wp:posOffset>
            </wp:positionV>
            <wp:extent cx="2628044" cy="981041"/>
            <wp:effectExtent l="0" t="0" r="1270" b="0"/>
            <wp:wrapSquare wrapText="bothSides"/>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28044" cy="981041"/>
                    </a:xfrm>
                    <a:prstGeom prst="rect">
                      <a:avLst/>
                    </a:prstGeom>
                  </pic:spPr>
                </pic:pic>
              </a:graphicData>
            </a:graphic>
            <wp14:sizeRelH relativeFrom="page">
              <wp14:pctWidth>0</wp14:pctWidth>
            </wp14:sizeRelH>
            <wp14:sizeRelV relativeFrom="page">
              <wp14:pctHeight>0</wp14:pctHeight>
            </wp14:sizeRelV>
          </wp:anchor>
        </w:drawing>
      </w:r>
      <w:proofErr w:type="gramStart"/>
      <w:r w:rsidR="007203EE">
        <w:rPr>
          <w:b/>
        </w:rPr>
        <w:t>Council  of</w:t>
      </w:r>
      <w:proofErr w:type="gramEnd"/>
      <w:r w:rsidR="007203EE">
        <w:rPr>
          <w:b/>
        </w:rPr>
        <w:t xml:space="preserve"> Real Estate I</w:t>
      </w:r>
      <w:r w:rsidRPr="00BE77EA">
        <w:rPr>
          <w:b/>
        </w:rPr>
        <w:t>nvestment Fiduciary:</w:t>
      </w:r>
    </w:p>
    <w:p w14:paraId="6037DA1D" w14:textId="0861568C" w:rsidR="00AA0D8E" w:rsidRDefault="0061349A" w:rsidP="00992C6D">
      <w:r>
        <w:t>This dataset was used by Resources</w:t>
      </w:r>
      <w:r w:rsidR="00D4323B">
        <w:t xml:space="preserve"> </w:t>
      </w:r>
      <w:proofErr w:type="gramStart"/>
      <w:r w:rsidR="00D4323B">
        <w:t>For</w:t>
      </w:r>
      <w:proofErr w:type="gramEnd"/>
      <w:r w:rsidR="00D4323B">
        <w:t xml:space="preserve"> the F</w:t>
      </w:r>
      <w:r>
        <w:t xml:space="preserve">uture </w:t>
      </w:r>
      <w:r w:rsidR="007203EE">
        <w:t xml:space="preserve">(RFF) </w:t>
      </w:r>
      <w:r>
        <w:t xml:space="preserve">for their analysis of utility </w:t>
      </w:r>
      <w:r w:rsidR="00D4323B">
        <w:t>expenditure</w:t>
      </w:r>
      <w:r>
        <w:t>. This dataset is private and not currently a</w:t>
      </w:r>
      <w:r w:rsidR="00AA0D8E">
        <w:t>ccessible to our research center.</w:t>
      </w:r>
    </w:p>
    <w:p w14:paraId="5598ECDF" w14:textId="77777777" w:rsidR="00D4323B" w:rsidRPr="00BE77EA" w:rsidRDefault="00D4323B" w:rsidP="00D4323B">
      <w:pPr>
        <w:rPr>
          <w:b/>
        </w:rPr>
      </w:pPr>
      <w:r w:rsidRPr="00BE77EA">
        <w:rPr>
          <w:b/>
        </w:rPr>
        <w:t xml:space="preserve">CBECS </w:t>
      </w:r>
      <w:proofErr w:type="gramStart"/>
      <w:r w:rsidRPr="00BE77EA">
        <w:rPr>
          <w:b/>
        </w:rPr>
        <w:t>database :</w:t>
      </w:r>
      <w:proofErr w:type="gramEnd"/>
      <w:r w:rsidRPr="00BE77EA">
        <w:rPr>
          <w:b/>
        </w:rPr>
        <w:t xml:space="preserve"> </w:t>
      </w:r>
    </w:p>
    <w:p w14:paraId="66C40D96" w14:textId="77777777" w:rsidR="00D4323B" w:rsidRPr="00992C6D" w:rsidRDefault="00D4323B" w:rsidP="00D4323B">
      <w:r>
        <w:t xml:space="preserve">While being an invaluable source of information about the US building stock, the CBECS </w:t>
      </w:r>
      <w:r w:rsidRPr="00992C6D">
        <w:t xml:space="preserve">does not track </w:t>
      </w:r>
      <w:r>
        <w:t xml:space="preserve">the </w:t>
      </w:r>
      <w:r w:rsidRPr="00992C6D">
        <w:t xml:space="preserve">same </w:t>
      </w:r>
      <w:proofErr w:type="gramStart"/>
      <w:r w:rsidRPr="00992C6D">
        <w:t xml:space="preserve">buildings </w:t>
      </w:r>
      <w:r>
        <w:t xml:space="preserve"> survey</w:t>
      </w:r>
      <w:proofErr w:type="gramEnd"/>
      <w:r>
        <w:t xml:space="preserve"> after survey</w:t>
      </w:r>
      <w:r w:rsidRPr="00992C6D">
        <w:t>:</w:t>
      </w:r>
      <w:r>
        <w:t xml:space="preserve"> it does not allow to track and  measure </w:t>
      </w:r>
      <w:r w:rsidRPr="00992C6D">
        <w:t>improvement</w:t>
      </w:r>
      <w:r>
        <w:t xml:space="preserve"> to the same buildings.</w:t>
      </w:r>
    </w:p>
    <w:p w14:paraId="2D946202" w14:textId="77777777" w:rsidR="00AA0D8E" w:rsidRPr="00BE77EA" w:rsidRDefault="00AA0D8E" w:rsidP="00992C6D">
      <w:pPr>
        <w:rPr>
          <w:b/>
        </w:rPr>
      </w:pPr>
      <w:r w:rsidRPr="00992C6D">
        <w:rPr>
          <w:noProof/>
        </w:rPr>
        <w:drawing>
          <wp:anchor distT="0" distB="0" distL="114300" distR="114300" simplePos="0" relativeHeight="251656704" behindDoc="0" locked="0" layoutInCell="1" allowOverlap="1" wp14:anchorId="1A1ACCCD" wp14:editId="07F40723">
            <wp:simplePos x="0" y="0"/>
            <wp:positionH relativeFrom="column">
              <wp:posOffset>3916680</wp:posOffset>
            </wp:positionH>
            <wp:positionV relativeFrom="paragraph">
              <wp:posOffset>63500</wp:posOffset>
            </wp:positionV>
            <wp:extent cx="2182495" cy="866775"/>
            <wp:effectExtent l="0" t="0" r="8255" b="9525"/>
            <wp:wrapSquare wrapText="bothSides"/>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82495" cy="866775"/>
                    </a:xfrm>
                    <a:prstGeom prst="rect">
                      <a:avLst/>
                    </a:prstGeom>
                  </pic:spPr>
                </pic:pic>
              </a:graphicData>
            </a:graphic>
          </wp:anchor>
        </w:drawing>
      </w:r>
      <w:r w:rsidR="0061349A">
        <w:t xml:space="preserve"> </w:t>
      </w:r>
      <w:r w:rsidR="00992C6D" w:rsidRPr="00BE77EA">
        <w:rPr>
          <w:b/>
        </w:rPr>
        <w:t xml:space="preserve">Building Performance </w:t>
      </w:r>
      <w:proofErr w:type="gramStart"/>
      <w:r w:rsidR="00992C6D" w:rsidRPr="00BE77EA">
        <w:rPr>
          <w:b/>
        </w:rPr>
        <w:t>Database :</w:t>
      </w:r>
      <w:proofErr w:type="gramEnd"/>
      <w:r w:rsidR="00992C6D" w:rsidRPr="00BE77EA">
        <w:rPr>
          <w:b/>
        </w:rPr>
        <w:t xml:space="preserve"> </w:t>
      </w:r>
    </w:p>
    <w:p w14:paraId="3518C648" w14:textId="311B0F25" w:rsidR="00AA0D8E" w:rsidRPr="00992C6D" w:rsidRDefault="00AA0D8E" w:rsidP="00AA0D8E">
      <w:r>
        <w:t>This dataset comprise the data set in P</w:t>
      </w:r>
      <w:r w:rsidR="00D4323B">
        <w:t>ortfolio Manager</w:t>
      </w:r>
      <w:r>
        <w:t xml:space="preserve"> and additional private data. </w:t>
      </w:r>
      <w:r w:rsidRPr="00992C6D">
        <w:t>The Building Performance Database (BPD) is the nation's largest dataset of information about the energy-related characteristics of commercial and residential buildings.</w:t>
      </w:r>
    </w:p>
    <w:p w14:paraId="03B3A8B1" w14:textId="66E41F27" w:rsidR="00992C6D" w:rsidRDefault="00AA0D8E" w:rsidP="00992C6D">
      <w:r>
        <w:lastRenderedPageBreak/>
        <w:t xml:space="preserve">The information is accessible in </w:t>
      </w:r>
      <w:proofErr w:type="gramStart"/>
      <w:r>
        <w:t xml:space="preserve">various </w:t>
      </w:r>
      <w:r w:rsidR="00992C6D" w:rsidRPr="00992C6D">
        <w:t xml:space="preserve"> aggregated</w:t>
      </w:r>
      <w:proofErr w:type="gramEnd"/>
      <w:r w:rsidR="00992C6D" w:rsidRPr="00992C6D">
        <w:t xml:space="preserve"> comparison</w:t>
      </w:r>
      <w:r>
        <w:t>s  created by the user. By using the online tool filtering capabilities, I will be able to establish some overall descriptive statistics about benchmarking ordinances.</w:t>
      </w:r>
    </w:p>
    <w:p w14:paraId="251302F3" w14:textId="77777777" w:rsidR="00AA0D8E" w:rsidRDefault="00AA0D8E" w:rsidP="00992C6D">
      <w:r w:rsidRPr="00BE77EA">
        <w:rPr>
          <w:b/>
          <w:noProof/>
        </w:rPr>
        <w:drawing>
          <wp:anchor distT="0" distB="0" distL="114300" distR="114300" simplePos="0" relativeHeight="251671040" behindDoc="0" locked="0" layoutInCell="1" allowOverlap="1" wp14:anchorId="4A87AA44" wp14:editId="52809DFA">
            <wp:simplePos x="0" y="0"/>
            <wp:positionH relativeFrom="column">
              <wp:posOffset>2918460</wp:posOffset>
            </wp:positionH>
            <wp:positionV relativeFrom="paragraph">
              <wp:posOffset>6985</wp:posOffset>
            </wp:positionV>
            <wp:extent cx="2827020" cy="570865"/>
            <wp:effectExtent l="0" t="0" r="0" b="635"/>
            <wp:wrapSquare wrapText="bothSides"/>
            <wp:docPr id="3074" name="Picture 2" descr="ENERGY STAR Portfolio Mana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NERGY STAR Portfolio Manager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7020" cy="570865"/>
                    </a:xfrm>
                    <a:prstGeom prst="rect">
                      <a:avLst/>
                    </a:prstGeom>
                    <a:noFill/>
                    <a:extLst/>
                  </pic:spPr>
                </pic:pic>
              </a:graphicData>
            </a:graphic>
          </wp:anchor>
        </w:drawing>
      </w:r>
      <w:r w:rsidRPr="00BE77EA">
        <w:rPr>
          <w:b/>
        </w:rPr>
        <w:t>Portfolio Manager Database</w:t>
      </w:r>
      <w:r>
        <w:t>:</w:t>
      </w:r>
    </w:p>
    <w:p w14:paraId="58BCC6A1" w14:textId="0B6DA59F" w:rsidR="00992C6D" w:rsidRDefault="00AA0D8E" w:rsidP="00992C6D">
      <w:r>
        <w:t xml:space="preserve">This database is </w:t>
      </w:r>
      <w:r w:rsidR="00992C6D" w:rsidRPr="00992C6D">
        <w:t>proprietary</w:t>
      </w:r>
      <w:r>
        <w:t xml:space="preserve"> to the Environmental Protection agency.</w:t>
      </w:r>
    </w:p>
    <w:p w14:paraId="087777CB" w14:textId="0D8E7F21" w:rsidR="00BE77EA" w:rsidRDefault="00BE77EA" w:rsidP="00992C6D">
      <w:r>
        <w:t xml:space="preserve">This dataset contains buildings who chose to track energy performance for their own building management decision making as well as the data </w:t>
      </w:r>
      <w:proofErr w:type="gramStart"/>
      <w:r>
        <w:t>being reported</w:t>
      </w:r>
      <w:proofErr w:type="gramEnd"/>
      <w:r>
        <w:t xml:space="preserve"> for compliance with benchmarking. The dataset from </w:t>
      </w:r>
      <w:proofErr w:type="spellStart"/>
      <w:r>
        <w:t>Energystar</w:t>
      </w:r>
      <w:proofErr w:type="spellEnd"/>
      <w:r>
        <w:t xml:space="preserve"> has spatial </w:t>
      </w:r>
      <w:proofErr w:type="spellStart"/>
      <w:r>
        <w:t>heterogeinity</w:t>
      </w:r>
      <w:proofErr w:type="spellEnd"/>
      <w:r>
        <w:t xml:space="preserve"> across the </w:t>
      </w:r>
      <w:proofErr w:type="spellStart"/>
      <w:r>
        <w:t>united state</w:t>
      </w:r>
      <w:proofErr w:type="spellEnd"/>
      <w:r>
        <w:t xml:space="preserve">. Additionally, the data collected by compliance have energy performance heterogeneity  that should allow better comparison </w:t>
      </w:r>
      <w:r>
        <w:fldChar w:fldCharType="begin"/>
      </w:r>
      <w:r>
        <w:instrText xml:space="preserve"> ADDIN ZOTERO_ITEM CSL_CITATION {"citationID":"FRAx8yJX","properties":{"formattedCitation":"(Hsu 2014)","plainCitation":"(Hsu 2014)","noteIndex":0},"citationItems":[{"id":765,"uris":["http://zotero.org/users/1410454/items/QVPCZ8QD"],"uri":["http://zotero.org/users/1410454/items/QVPCZ8QD"],"itemData":{"id":765,"type":"article-journal","title":"Improving energy benchmarking with self-reported data","container-title":"Building Research &amp; Information","page":"641-656","volume":"42","issue":"5","source":"Taylor and Francis+NEJM","abstract":"Energy benchmarking for buildings has become increasingly important in government policy and industry practice for energy efficiency. The questions of how energy benchmarking is currently conducted, and how it might be improved using rapidly growing quantities of self-reported data, are examined. A case study of commercial office buildings in New York City demonstrates how the rapid growth in self-reported data presents both new opportunities and challenges for energy benchmarking for buildings. A critique is presented for the scoring methodology and data sources for Energy Star, one of the largest and most successful benchmarking certification schemes. Findings from recent studies are examined to illustrate how this certification currently works in the marketplace. Self-reported building energy data are rapidly growing in Portfolio Manager (the user interface to Energy Star) due to mandatory energy benchmarking laws, and can be used to improve Energy Star's current scoring methods. These self-reported data are tested and improved for analysis by applying theories and methods of data quality developed in computer science, statistics and data management. These new data constitute a critical building block for the development of energy efficiency policies, and will affect how government, consultants, and owners measure and compare building energy use.","DOI":"10.1080/09613218.2014.887612","ISSN":"0961-3218","author":[{"family":"Hsu","given":"David"}],"issued":{"date-parts":[["2014",2,21]]}}}],"schema":"https://github.com/citation-style-language/schema/raw/master/csl-citation.json"} </w:instrText>
      </w:r>
      <w:r>
        <w:fldChar w:fldCharType="separate"/>
      </w:r>
      <w:r w:rsidRPr="00C23B04">
        <w:rPr>
          <w:rFonts w:ascii="Calibri" w:hAnsi="Calibri" w:cs="Calibri"/>
        </w:rPr>
        <w:t>(Hsu 2014)</w:t>
      </w:r>
      <w:r>
        <w:fldChar w:fldCharType="end"/>
      </w:r>
      <w:r w:rsidR="007203EE">
        <w:t>.</w:t>
      </w:r>
    </w:p>
    <w:p w14:paraId="209CBEBB" w14:textId="77777777" w:rsidR="007203EE" w:rsidRDefault="007203EE" w:rsidP="007203EE">
      <w:r w:rsidRPr="00992C6D">
        <w:t xml:space="preserve">Portfolio manager </w:t>
      </w:r>
      <w:proofErr w:type="gramStart"/>
      <w:r w:rsidRPr="00992C6D">
        <w:t>is used</w:t>
      </w:r>
      <w:proofErr w:type="gramEnd"/>
      <w:r w:rsidRPr="00992C6D">
        <w:t xml:space="preserve"> by all the existing benchmarking ordinances.</w:t>
      </w:r>
    </w:p>
    <w:p w14:paraId="01AB5290" w14:textId="59AB22DB" w:rsidR="00AA0D8E" w:rsidRDefault="00AA0D8E" w:rsidP="00992C6D">
      <w:r>
        <w:t>I have introduce my research goals and the benefit to us</w:t>
      </w:r>
      <w:r w:rsidR="00D4323B">
        <w:t xml:space="preserve">ing their dataset for my </w:t>
      </w:r>
      <w:proofErr w:type="gramStart"/>
      <w:r w:rsidR="00D4323B">
        <w:t>analyse</w:t>
      </w:r>
      <w:r>
        <w:t xml:space="preserve">s </w:t>
      </w:r>
      <w:r w:rsidR="00D4323B">
        <w:t xml:space="preserve"> to</w:t>
      </w:r>
      <w:proofErr w:type="gramEnd"/>
      <w:r w:rsidR="00D4323B">
        <w:t xml:space="preserve"> the EPA </w:t>
      </w:r>
      <w:r>
        <w:t xml:space="preserve">and they have shown interest </w:t>
      </w:r>
      <w:r w:rsidR="00BE77EA">
        <w:t>in its value</w:t>
      </w:r>
      <w:r>
        <w:t>. However, they current</w:t>
      </w:r>
      <w:r w:rsidR="00D4323B">
        <w:t>ly will not provide</w:t>
      </w:r>
      <w:r w:rsidR="00BE77EA">
        <w:t xml:space="preserve"> access to the </w:t>
      </w:r>
      <w:proofErr w:type="gramStart"/>
      <w:r w:rsidR="00BE77EA">
        <w:t>data,</w:t>
      </w:r>
      <w:proofErr w:type="gramEnd"/>
      <w:r w:rsidR="00BE77EA">
        <w:t xml:space="preserve"> possibly because of the challenge the update to the metrics have been posing since August.</w:t>
      </w:r>
    </w:p>
    <w:p w14:paraId="11A1F7E2" w14:textId="78CDCD27" w:rsidR="00AA0D8E" w:rsidRDefault="00AA0D8E" w:rsidP="00992C6D"/>
    <w:p w14:paraId="313AE3E5" w14:textId="0A444D8D" w:rsidR="00BE77EA" w:rsidRPr="00BE77EA" w:rsidRDefault="00BE77EA" w:rsidP="00AA0D8E">
      <w:pPr>
        <w:rPr>
          <w:b/>
        </w:rPr>
      </w:pPr>
      <w:r w:rsidRPr="00BE77EA">
        <w:rPr>
          <w:b/>
          <w:noProof/>
        </w:rPr>
        <w:drawing>
          <wp:anchor distT="0" distB="0" distL="114300" distR="114300" simplePos="0" relativeHeight="251686400" behindDoc="0" locked="0" layoutInCell="1" allowOverlap="1" wp14:anchorId="02E7A755" wp14:editId="6ACD8B83">
            <wp:simplePos x="0" y="0"/>
            <wp:positionH relativeFrom="column">
              <wp:posOffset>4853940</wp:posOffset>
            </wp:positionH>
            <wp:positionV relativeFrom="paragraph">
              <wp:posOffset>91440</wp:posOffset>
            </wp:positionV>
            <wp:extent cx="740410" cy="758190"/>
            <wp:effectExtent l="0" t="0" r="2540" b="381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0410" cy="7581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A0D8E" w:rsidRPr="00BE77EA">
        <w:rPr>
          <w:b/>
        </w:rPr>
        <w:t>Energystar</w:t>
      </w:r>
      <w:proofErr w:type="spellEnd"/>
      <w:r w:rsidR="00AA0D8E" w:rsidRPr="00BE77EA">
        <w:rPr>
          <w:b/>
        </w:rPr>
        <w:t xml:space="preserve"> database. </w:t>
      </w:r>
    </w:p>
    <w:p w14:paraId="40356532" w14:textId="36520DA9" w:rsidR="00AA0D8E" w:rsidRDefault="00BE77EA" w:rsidP="00AA0D8E">
      <w:r>
        <w:t xml:space="preserve">Buildings that have ENERGY STAR score of 75 or higher </w:t>
      </w:r>
      <w:proofErr w:type="gramStart"/>
      <w:r>
        <w:t>are publicly listed</w:t>
      </w:r>
      <w:proofErr w:type="gramEnd"/>
      <w:r>
        <w:t xml:space="preserve"> in the ENERGYSTAR database. This dataset is downloadable.</w:t>
      </w:r>
    </w:p>
    <w:p w14:paraId="04E2E2DE" w14:textId="614F269A" w:rsidR="00BE77EA" w:rsidRPr="00992C6D" w:rsidRDefault="00BE77EA" w:rsidP="00AA0D8E">
      <w:r>
        <w:t>It contains basic building characteristics and the year and score of each buildings.</w:t>
      </w:r>
    </w:p>
    <w:p w14:paraId="291F5EDF" w14:textId="1BC78F24" w:rsidR="004F6688" w:rsidRDefault="00BE77EA" w:rsidP="00992C6D">
      <w:r>
        <w:t>This dataset contains over</w:t>
      </w:r>
      <w:r w:rsidR="00992C6D" w:rsidRPr="00992C6D">
        <w:rPr>
          <w:rFonts w:eastAsiaTheme="minorEastAsia" w:hAnsi="Corbel"/>
          <w:b/>
          <w:bCs/>
          <w:color w:val="4F81BD" w:themeColor="accent1"/>
          <w:kern w:val="24"/>
          <w:sz w:val="64"/>
          <w:szCs w:val="64"/>
        </w:rPr>
        <w:t xml:space="preserve"> </w:t>
      </w:r>
      <w:proofErr w:type="gramStart"/>
      <w:r w:rsidR="004F6688">
        <w:rPr>
          <w:bCs/>
        </w:rPr>
        <w:t>34</w:t>
      </w:r>
      <w:r w:rsidR="00992C6D" w:rsidRPr="00BE77EA">
        <w:rPr>
          <w:bCs/>
        </w:rPr>
        <w:t>,000</w:t>
      </w:r>
      <w:r w:rsidR="00992C6D" w:rsidRPr="00992C6D">
        <w:rPr>
          <w:b/>
          <w:bCs/>
        </w:rPr>
        <w:t xml:space="preserve">  </w:t>
      </w:r>
      <w:r w:rsidR="00992C6D" w:rsidRPr="00992C6D">
        <w:t>buildings</w:t>
      </w:r>
      <w:proofErr w:type="gramEnd"/>
      <w:r w:rsidR="00992C6D" w:rsidRPr="00992C6D">
        <w:t xml:space="preserve"> across </w:t>
      </w:r>
      <w:r w:rsidR="00615C3E">
        <w:t>the United States</w:t>
      </w:r>
      <w:r w:rsidR="00992C6D" w:rsidRPr="00992C6D">
        <w:t xml:space="preserve"> with score &gt;75</w:t>
      </w:r>
      <w:r>
        <w:t>.</w:t>
      </w:r>
      <w:r>
        <w:rPr>
          <w:bCs/>
        </w:rPr>
        <w:t xml:space="preserve">The subset of commercial building includes </w:t>
      </w:r>
      <w:r w:rsidR="004F6688">
        <w:rPr>
          <w:bCs/>
        </w:rPr>
        <w:t>11</w:t>
      </w:r>
      <w:r w:rsidR="00FE0647">
        <w:rPr>
          <w:bCs/>
        </w:rPr>
        <w:t>,</w:t>
      </w:r>
      <w:r w:rsidR="004F6688">
        <w:rPr>
          <w:bCs/>
        </w:rPr>
        <w:t>247</w:t>
      </w:r>
      <w:r w:rsidR="00992C6D" w:rsidRPr="00BE77EA">
        <w:t xml:space="preserve"> </w:t>
      </w:r>
      <w:r w:rsidR="00992C6D" w:rsidRPr="00992C6D">
        <w:t>office buildings</w:t>
      </w:r>
      <w:r w:rsidR="004F6688">
        <w:t xml:space="preserve"> including medical offices and banks. This database is voluntary and include buildings that </w:t>
      </w:r>
      <w:proofErr w:type="gramStart"/>
      <w:r w:rsidR="004F6688">
        <w:t>were certified</w:t>
      </w:r>
      <w:proofErr w:type="gramEnd"/>
      <w:r w:rsidR="004F6688">
        <w:t xml:space="preserve"> ENERGYSTAR at least once</w:t>
      </w:r>
      <w:r w:rsidR="00FE0647">
        <w:t xml:space="preserve"> between 1999 and 2017</w:t>
      </w:r>
      <w:r w:rsidR="004F6688">
        <w:t xml:space="preserve">. </w:t>
      </w:r>
    </w:p>
    <w:p w14:paraId="272B2D30" w14:textId="6DB497DD" w:rsidR="00CF64A8" w:rsidRDefault="00CF64A8" w:rsidP="00992C6D">
      <w:r>
        <w:t>The database includes buildings in 1722 different cities.</w:t>
      </w:r>
    </w:p>
    <w:p w14:paraId="625A3E90" w14:textId="6DBDDC82" w:rsidR="00992C6D" w:rsidRDefault="004F6688" w:rsidP="00992C6D">
      <w:proofErr w:type="gramStart"/>
      <w:r>
        <w:t>2019</w:t>
      </w:r>
      <w:proofErr w:type="gramEnd"/>
      <w:r>
        <w:t xml:space="preserve"> buildings </w:t>
      </w:r>
      <w:r w:rsidR="00FE0647">
        <w:t>are located in</w:t>
      </w:r>
      <w:r w:rsidR="00130525">
        <w:t xml:space="preserve"> cities that currently have</w:t>
      </w:r>
      <w:r>
        <w:t xml:space="preserve"> benchmarking ordinances. 949</w:t>
      </w:r>
      <w:r w:rsidR="00130525">
        <w:t xml:space="preserve"> buildings</w:t>
      </w:r>
      <w:r>
        <w:t xml:space="preserve"> are in one of the first five cities that enacted benchmark</w:t>
      </w:r>
      <w:r w:rsidR="00130525">
        <w:t xml:space="preserve">ing and transparency ordinances </w:t>
      </w:r>
      <w:proofErr w:type="gramStart"/>
      <w:r w:rsidR="00130525">
        <w:t>(</w:t>
      </w:r>
      <w:r>
        <w:t xml:space="preserve"> Austin</w:t>
      </w:r>
      <w:proofErr w:type="gramEnd"/>
      <w:r>
        <w:t xml:space="preserve">, DC, Seattle, New York, San </w:t>
      </w:r>
      <w:proofErr w:type="spellStart"/>
      <w:r>
        <w:t>Fransci</w:t>
      </w:r>
      <w:r w:rsidR="00130525">
        <w:t>s</w:t>
      </w:r>
      <w:r>
        <w:t>co</w:t>
      </w:r>
      <w:proofErr w:type="spellEnd"/>
      <w:r w:rsidR="00130525">
        <w:t>)</w:t>
      </w:r>
      <w:r>
        <w:t>.</w:t>
      </w:r>
    </w:p>
    <w:p w14:paraId="3260361A" w14:textId="01E010EA" w:rsidR="00992C6D" w:rsidRPr="00992C6D" w:rsidRDefault="00BE77EA" w:rsidP="00992C6D">
      <w:proofErr w:type="spellStart"/>
      <w:r>
        <w:t>Energystar</w:t>
      </w:r>
      <w:proofErr w:type="spellEnd"/>
      <w:r>
        <w:t xml:space="preserve"> score </w:t>
      </w:r>
      <w:proofErr w:type="gramStart"/>
      <w:r>
        <w:t>are calculated</w:t>
      </w:r>
      <w:proofErr w:type="gramEnd"/>
      <w:r>
        <w:t xml:space="preserve"> based on 13 different parameters including the real EUI and a predicted EUI calculated based on CBECS data. CBECS data </w:t>
      </w:r>
      <w:proofErr w:type="gramStart"/>
      <w:r>
        <w:t>is updated</w:t>
      </w:r>
      <w:proofErr w:type="gramEnd"/>
      <w:r>
        <w:t xml:space="preserve"> every 4-5 years and therefore the score are recalculated with each update This CBECS data is old and some cons. </w:t>
      </w:r>
      <w:proofErr w:type="spellStart"/>
      <w:r w:rsidR="00992C6D" w:rsidRPr="00992C6D">
        <w:t>Energystar</w:t>
      </w:r>
      <w:proofErr w:type="spellEnd"/>
      <w:r w:rsidR="00992C6D" w:rsidRPr="00992C6D">
        <w:t xml:space="preserve"> score is a good proxy for EUI change</w:t>
      </w:r>
      <w:r>
        <w:t xml:space="preserve"> as the EUI is the only variables used to calculate a score that changes over time</w:t>
      </w:r>
      <w:r w:rsidR="00992C6D" w:rsidRPr="00992C6D">
        <w:t>.</w:t>
      </w:r>
    </w:p>
    <w:p w14:paraId="3008515F" w14:textId="78A7162B" w:rsidR="00992C6D" w:rsidRDefault="00992C6D" w:rsidP="00992C6D">
      <w:r w:rsidRPr="00992C6D">
        <w:t xml:space="preserve">While </w:t>
      </w:r>
      <w:proofErr w:type="spellStart"/>
      <w:r w:rsidRPr="00992C6D">
        <w:t>energystar</w:t>
      </w:r>
      <w:proofErr w:type="spellEnd"/>
      <w:r w:rsidRPr="00992C6D">
        <w:t xml:space="preserve"> </w:t>
      </w:r>
      <w:proofErr w:type="gramStart"/>
      <w:r w:rsidRPr="00992C6D">
        <w:t>is calculated</w:t>
      </w:r>
      <w:proofErr w:type="gramEnd"/>
      <w:r w:rsidRPr="00992C6D">
        <w:t xml:space="preserve"> based on CBECS data, data from 2007 to 2017 are all base on the same CBECS survey from 2003.</w:t>
      </w:r>
      <w:r w:rsidR="00BE77EA">
        <w:t xml:space="preserve"> Therefore, the score stopped representing a quartile and all buildings who made improvement that reduced their energy use have seen their score rise.</w:t>
      </w:r>
    </w:p>
    <w:p w14:paraId="4A267FC1" w14:textId="26C70D1F" w:rsidR="00992C6D" w:rsidRDefault="00992C6D" w:rsidP="000C62C7">
      <w:pPr>
        <w:pStyle w:val="Heading3"/>
      </w:pPr>
      <w:r>
        <w:t>Analyses to be conducted</w:t>
      </w:r>
    </w:p>
    <w:p w14:paraId="3D4F2B83" w14:textId="77777777" w:rsidR="003B5419" w:rsidRPr="003B5419" w:rsidRDefault="003B5419" w:rsidP="003B5419"/>
    <w:p w14:paraId="21B2F4C0" w14:textId="72CA21FE" w:rsidR="000C62C7" w:rsidRDefault="000C62C7" w:rsidP="000C62C7">
      <w:pPr>
        <w:pStyle w:val="Heading4"/>
      </w:pPr>
      <w:r>
        <w:t>Growth of the database</w:t>
      </w:r>
    </w:p>
    <w:p w14:paraId="4D3A2EA1" w14:textId="10CECE23" w:rsidR="000C62C7" w:rsidRDefault="000C62C7" w:rsidP="000C62C7">
      <w:r>
        <w:t xml:space="preserve">I will run statistical analysis to evaluate how ordinances </w:t>
      </w:r>
      <w:proofErr w:type="gramStart"/>
      <w:r>
        <w:t>impacted</w:t>
      </w:r>
      <w:proofErr w:type="gramEnd"/>
      <w:r>
        <w:t xml:space="preserve"> participation in Portfolio Manager</w:t>
      </w:r>
      <w:r w:rsidR="00BB13F9">
        <w:t xml:space="preserve">. </w:t>
      </w:r>
      <w:r w:rsidR="00F12523">
        <w:t xml:space="preserve">Figure </w:t>
      </w:r>
      <w:proofErr w:type="gramStart"/>
      <w:r w:rsidR="00F12523">
        <w:t xml:space="preserve">12 </w:t>
      </w:r>
      <w:r w:rsidR="00BB13F9">
        <w:t xml:space="preserve"> illustrate</w:t>
      </w:r>
      <w:r w:rsidR="00F12523">
        <w:t>s</w:t>
      </w:r>
      <w:proofErr w:type="gramEnd"/>
      <w:r w:rsidR="00BB13F9">
        <w:t xml:space="preserve"> the current growth in participation and score improvement</w:t>
      </w:r>
      <w:r>
        <w:t xml:space="preserve"> </w:t>
      </w:r>
      <w:r w:rsidR="00BB13F9">
        <w:t>in the ENERGYSTAR database.</w:t>
      </w:r>
    </w:p>
    <w:p w14:paraId="1A16885B" w14:textId="5957D67F" w:rsidR="000C62C7" w:rsidRDefault="000C62C7" w:rsidP="00F12523">
      <w:pPr>
        <w:jc w:val="center"/>
      </w:pPr>
      <w:r>
        <w:rPr>
          <w:noProof/>
        </w:rPr>
        <w:drawing>
          <wp:inline distT="0" distB="0" distL="0" distR="0" wp14:anchorId="7B61FFA4" wp14:editId="5AF20A01">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AC47CA" w14:textId="0B7753A8" w:rsidR="000C62C7" w:rsidRDefault="000C62C7" w:rsidP="000C62C7">
      <w:pPr>
        <w:pStyle w:val="Caption"/>
        <w:ind w:left="720"/>
      </w:pPr>
      <w:bookmarkStart w:id="34" w:name="_Toc532165414"/>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t xml:space="preserve">: growth of the </w:t>
      </w:r>
      <w:proofErr w:type="spellStart"/>
      <w:r>
        <w:t>Energystar</w:t>
      </w:r>
      <w:proofErr w:type="spellEnd"/>
      <w:r>
        <w:t xml:space="preserve"> Database</w:t>
      </w:r>
      <w:bookmarkEnd w:id="34"/>
      <w:r>
        <w:t xml:space="preserve"> </w:t>
      </w:r>
    </w:p>
    <w:p w14:paraId="7BD102C8" w14:textId="4F5AE336" w:rsidR="003B5419" w:rsidRPr="003B5419" w:rsidRDefault="003B5419" w:rsidP="003B5419">
      <w:r>
        <w:t>Table 6 contains the values plotted on figure 12.</w:t>
      </w:r>
    </w:p>
    <w:p w14:paraId="604AC62E" w14:textId="77777777" w:rsidR="000C62C7" w:rsidRPr="007203EE" w:rsidRDefault="000C62C7" w:rsidP="000C62C7"/>
    <w:tbl>
      <w:tblPr>
        <w:tblStyle w:val="PlainTable3"/>
        <w:tblW w:w="5000" w:type="pct"/>
        <w:tblLook w:val="04A0" w:firstRow="1" w:lastRow="0" w:firstColumn="1" w:lastColumn="0" w:noHBand="0" w:noVBand="1"/>
      </w:tblPr>
      <w:tblGrid>
        <w:gridCol w:w="1237"/>
        <w:gridCol w:w="758"/>
        <w:gridCol w:w="758"/>
        <w:gridCol w:w="759"/>
        <w:gridCol w:w="759"/>
        <w:gridCol w:w="759"/>
        <w:gridCol w:w="759"/>
        <w:gridCol w:w="759"/>
        <w:gridCol w:w="759"/>
        <w:gridCol w:w="759"/>
        <w:gridCol w:w="759"/>
        <w:gridCol w:w="751"/>
      </w:tblGrid>
      <w:tr w:rsidR="000C62C7" w:rsidRPr="00CF64A8" w14:paraId="59E0ECE3" w14:textId="77777777" w:rsidTr="00C23B04">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417" w:type="pct"/>
            <w:noWrap/>
            <w:hideMark/>
          </w:tcPr>
          <w:p w14:paraId="2FA1BC96" w14:textId="77777777" w:rsidR="000C62C7" w:rsidRPr="00CF64A8" w:rsidRDefault="000C62C7" w:rsidP="00C23B04">
            <w:pPr>
              <w:rPr>
                <w:rFonts w:ascii="Calibri" w:eastAsia="Times New Roman" w:hAnsi="Calibri" w:cs="Calibri"/>
                <w:color w:val="000000"/>
              </w:rPr>
            </w:pPr>
            <w:r w:rsidRPr="00CF64A8">
              <w:rPr>
                <w:rFonts w:ascii="Calibri" w:eastAsia="Times New Roman" w:hAnsi="Calibri" w:cs="Calibri"/>
                <w:color w:val="000000"/>
              </w:rPr>
              <w:t>All</w:t>
            </w:r>
          </w:p>
        </w:tc>
        <w:tc>
          <w:tcPr>
            <w:tcW w:w="417" w:type="pct"/>
            <w:noWrap/>
            <w:hideMark/>
          </w:tcPr>
          <w:p w14:paraId="6ACC9337"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2007</w:t>
            </w:r>
          </w:p>
        </w:tc>
        <w:tc>
          <w:tcPr>
            <w:tcW w:w="417" w:type="pct"/>
            <w:noWrap/>
            <w:hideMark/>
          </w:tcPr>
          <w:p w14:paraId="4538A52F"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2008</w:t>
            </w:r>
          </w:p>
        </w:tc>
        <w:tc>
          <w:tcPr>
            <w:tcW w:w="417" w:type="pct"/>
            <w:noWrap/>
            <w:hideMark/>
          </w:tcPr>
          <w:p w14:paraId="2925CDD3"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2009</w:t>
            </w:r>
          </w:p>
        </w:tc>
        <w:tc>
          <w:tcPr>
            <w:tcW w:w="417" w:type="pct"/>
            <w:noWrap/>
            <w:hideMark/>
          </w:tcPr>
          <w:p w14:paraId="2A55D1A6"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2010</w:t>
            </w:r>
          </w:p>
        </w:tc>
        <w:tc>
          <w:tcPr>
            <w:tcW w:w="417" w:type="pct"/>
            <w:noWrap/>
            <w:hideMark/>
          </w:tcPr>
          <w:p w14:paraId="39589769"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2011</w:t>
            </w:r>
          </w:p>
        </w:tc>
        <w:tc>
          <w:tcPr>
            <w:tcW w:w="417" w:type="pct"/>
            <w:noWrap/>
            <w:hideMark/>
          </w:tcPr>
          <w:p w14:paraId="16B56346"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2012</w:t>
            </w:r>
          </w:p>
        </w:tc>
        <w:tc>
          <w:tcPr>
            <w:tcW w:w="417" w:type="pct"/>
            <w:noWrap/>
            <w:hideMark/>
          </w:tcPr>
          <w:p w14:paraId="47AE3CE3"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2013</w:t>
            </w:r>
          </w:p>
        </w:tc>
        <w:tc>
          <w:tcPr>
            <w:tcW w:w="417" w:type="pct"/>
            <w:noWrap/>
            <w:hideMark/>
          </w:tcPr>
          <w:p w14:paraId="02629CBF"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2014</w:t>
            </w:r>
          </w:p>
        </w:tc>
        <w:tc>
          <w:tcPr>
            <w:tcW w:w="417" w:type="pct"/>
            <w:noWrap/>
            <w:hideMark/>
          </w:tcPr>
          <w:p w14:paraId="1C23FB6B"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2015</w:t>
            </w:r>
          </w:p>
        </w:tc>
        <w:tc>
          <w:tcPr>
            <w:tcW w:w="417" w:type="pct"/>
            <w:noWrap/>
            <w:hideMark/>
          </w:tcPr>
          <w:p w14:paraId="2B70FBE9"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2016</w:t>
            </w:r>
          </w:p>
        </w:tc>
        <w:tc>
          <w:tcPr>
            <w:tcW w:w="417" w:type="pct"/>
            <w:noWrap/>
            <w:hideMark/>
          </w:tcPr>
          <w:p w14:paraId="287CE16D" w14:textId="77777777" w:rsidR="000C62C7" w:rsidRPr="00CF64A8" w:rsidRDefault="000C62C7" w:rsidP="00C23B0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2017</w:t>
            </w:r>
          </w:p>
        </w:tc>
      </w:tr>
      <w:tr w:rsidR="000C62C7" w:rsidRPr="00CF64A8" w14:paraId="40960D09" w14:textId="77777777" w:rsidTr="00C23B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7" w:type="pct"/>
            <w:noWrap/>
            <w:hideMark/>
          </w:tcPr>
          <w:p w14:paraId="24EC9596" w14:textId="77777777" w:rsidR="000C62C7" w:rsidRPr="00CF64A8" w:rsidRDefault="000C62C7" w:rsidP="00C23B04">
            <w:pPr>
              <w:rPr>
                <w:rFonts w:ascii="Calibri" w:eastAsia="Times New Roman" w:hAnsi="Calibri" w:cs="Calibri"/>
                <w:color w:val="000000"/>
              </w:rPr>
            </w:pPr>
            <w:r w:rsidRPr="00CF64A8">
              <w:rPr>
                <w:rFonts w:ascii="Calibri" w:eastAsia="Times New Roman" w:hAnsi="Calibri" w:cs="Calibri"/>
                <w:color w:val="000000"/>
              </w:rPr>
              <w:t>#bldg</w:t>
            </w:r>
            <w:r>
              <w:rPr>
                <w:rFonts w:ascii="Calibri" w:eastAsia="Times New Roman" w:hAnsi="Calibri" w:cs="Calibri"/>
                <w:color w:val="000000"/>
              </w:rPr>
              <w:t>s</w:t>
            </w:r>
          </w:p>
        </w:tc>
        <w:tc>
          <w:tcPr>
            <w:tcW w:w="417" w:type="pct"/>
            <w:noWrap/>
            <w:hideMark/>
          </w:tcPr>
          <w:p w14:paraId="23335C28"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860</w:t>
            </w:r>
          </w:p>
        </w:tc>
        <w:tc>
          <w:tcPr>
            <w:tcW w:w="417" w:type="pct"/>
            <w:noWrap/>
            <w:hideMark/>
          </w:tcPr>
          <w:p w14:paraId="04633B02"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1870</w:t>
            </w:r>
          </w:p>
        </w:tc>
        <w:tc>
          <w:tcPr>
            <w:tcW w:w="417" w:type="pct"/>
            <w:noWrap/>
            <w:hideMark/>
          </w:tcPr>
          <w:p w14:paraId="6DDB7259"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2509</w:t>
            </w:r>
          </w:p>
        </w:tc>
        <w:tc>
          <w:tcPr>
            <w:tcW w:w="417" w:type="pct"/>
            <w:noWrap/>
            <w:hideMark/>
          </w:tcPr>
          <w:p w14:paraId="16BEAA22"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3306</w:t>
            </w:r>
          </w:p>
        </w:tc>
        <w:tc>
          <w:tcPr>
            <w:tcW w:w="417" w:type="pct"/>
            <w:noWrap/>
            <w:hideMark/>
          </w:tcPr>
          <w:p w14:paraId="2B91A01D"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3188</w:t>
            </w:r>
          </w:p>
        </w:tc>
        <w:tc>
          <w:tcPr>
            <w:tcW w:w="417" w:type="pct"/>
            <w:noWrap/>
            <w:hideMark/>
          </w:tcPr>
          <w:p w14:paraId="0CB83023"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4135</w:t>
            </w:r>
          </w:p>
        </w:tc>
        <w:tc>
          <w:tcPr>
            <w:tcW w:w="417" w:type="pct"/>
            <w:noWrap/>
            <w:hideMark/>
          </w:tcPr>
          <w:p w14:paraId="111B59A7"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3909</w:t>
            </w:r>
          </w:p>
        </w:tc>
        <w:tc>
          <w:tcPr>
            <w:tcW w:w="417" w:type="pct"/>
            <w:noWrap/>
            <w:hideMark/>
          </w:tcPr>
          <w:p w14:paraId="614B1237"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3900</w:t>
            </w:r>
          </w:p>
        </w:tc>
        <w:tc>
          <w:tcPr>
            <w:tcW w:w="417" w:type="pct"/>
            <w:noWrap/>
            <w:hideMark/>
          </w:tcPr>
          <w:p w14:paraId="1806AAD0"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4211</w:t>
            </w:r>
          </w:p>
        </w:tc>
        <w:tc>
          <w:tcPr>
            <w:tcW w:w="417" w:type="pct"/>
            <w:noWrap/>
            <w:hideMark/>
          </w:tcPr>
          <w:p w14:paraId="52D3B771"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4456</w:t>
            </w:r>
          </w:p>
        </w:tc>
        <w:tc>
          <w:tcPr>
            <w:tcW w:w="417" w:type="pct"/>
            <w:noWrap/>
            <w:hideMark/>
          </w:tcPr>
          <w:p w14:paraId="1F3147A3" w14:textId="77777777" w:rsidR="000C62C7" w:rsidRPr="00CF64A8" w:rsidRDefault="000C62C7" w:rsidP="00C23B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5217</w:t>
            </w:r>
          </w:p>
        </w:tc>
      </w:tr>
      <w:tr w:rsidR="000C62C7" w:rsidRPr="00CF64A8" w14:paraId="5A10D63C" w14:textId="77777777" w:rsidTr="00C23B04">
        <w:trPr>
          <w:trHeight w:val="288"/>
        </w:trPr>
        <w:tc>
          <w:tcPr>
            <w:cnfStyle w:val="001000000000" w:firstRow="0" w:lastRow="0" w:firstColumn="1" w:lastColumn="0" w:oddVBand="0" w:evenVBand="0" w:oddHBand="0" w:evenHBand="0" w:firstRowFirstColumn="0" w:firstRowLastColumn="0" w:lastRowFirstColumn="0" w:lastRowLastColumn="0"/>
            <w:tcW w:w="417" w:type="pct"/>
            <w:noWrap/>
            <w:hideMark/>
          </w:tcPr>
          <w:p w14:paraId="577EDD6C" w14:textId="77777777" w:rsidR="000C62C7" w:rsidRPr="00CF64A8" w:rsidRDefault="000C62C7" w:rsidP="00C23B04">
            <w:pPr>
              <w:rPr>
                <w:rFonts w:ascii="Calibri" w:eastAsia="Times New Roman" w:hAnsi="Calibri" w:cs="Calibri"/>
                <w:color w:val="000000"/>
              </w:rPr>
            </w:pPr>
            <w:r w:rsidRPr="00CF64A8">
              <w:rPr>
                <w:rFonts w:ascii="Calibri" w:eastAsia="Times New Roman" w:hAnsi="Calibri" w:cs="Calibri"/>
                <w:color w:val="000000"/>
              </w:rPr>
              <w:t>Ave score</w:t>
            </w:r>
          </w:p>
        </w:tc>
        <w:tc>
          <w:tcPr>
            <w:tcW w:w="417" w:type="pct"/>
            <w:noWrap/>
            <w:hideMark/>
          </w:tcPr>
          <w:p w14:paraId="39015931"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84.2</w:t>
            </w:r>
          </w:p>
        </w:tc>
        <w:tc>
          <w:tcPr>
            <w:tcW w:w="417" w:type="pct"/>
            <w:noWrap/>
            <w:hideMark/>
          </w:tcPr>
          <w:p w14:paraId="03C7884B"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84.8</w:t>
            </w:r>
          </w:p>
        </w:tc>
        <w:tc>
          <w:tcPr>
            <w:tcW w:w="417" w:type="pct"/>
            <w:noWrap/>
            <w:hideMark/>
          </w:tcPr>
          <w:p w14:paraId="18C45068"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84.7</w:t>
            </w:r>
          </w:p>
        </w:tc>
        <w:tc>
          <w:tcPr>
            <w:tcW w:w="417" w:type="pct"/>
            <w:noWrap/>
            <w:hideMark/>
          </w:tcPr>
          <w:p w14:paraId="3E4D713C"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85.1</w:t>
            </w:r>
          </w:p>
        </w:tc>
        <w:tc>
          <w:tcPr>
            <w:tcW w:w="417" w:type="pct"/>
            <w:noWrap/>
            <w:hideMark/>
          </w:tcPr>
          <w:p w14:paraId="3BFDE144"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85.2</w:t>
            </w:r>
          </w:p>
        </w:tc>
        <w:tc>
          <w:tcPr>
            <w:tcW w:w="417" w:type="pct"/>
            <w:noWrap/>
            <w:hideMark/>
          </w:tcPr>
          <w:p w14:paraId="15B7B8B6"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85.2</w:t>
            </w:r>
          </w:p>
        </w:tc>
        <w:tc>
          <w:tcPr>
            <w:tcW w:w="417" w:type="pct"/>
            <w:noWrap/>
            <w:hideMark/>
          </w:tcPr>
          <w:p w14:paraId="4435CAC6"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85.2</w:t>
            </w:r>
          </w:p>
        </w:tc>
        <w:tc>
          <w:tcPr>
            <w:tcW w:w="417" w:type="pct"/>
            <w:noWrap/>
            <w:hideMark/>
          </w:tcPr>
          <w:p w14:paraId="5EB0F1A8"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85.0</w:t>
            </w:r>
          </w:p>
        </w:tc>
        <w:tc>
          <w:tcPr>
            <w:tcW w:w="417" w:type="pct"/>
            <w:noWrap/>
            <w:hideMark/>
          </w:tcPr>
          <w:p w14:paraId="4533B12B"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85.6</w:t>
            </w:r>
          </w:p>
        </w:tc>
        <w:tc>
          <w:tcPr>
            <w:tcW w:w="417" w:type="pct"/>
            <w:noWrap/>
            <w:hideMark/>
          </w:tcPr>
          <w:p w14:paraId="6B20911D"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86.4</w:t>
            </w:r>
          </w:p>
        </w:tc>
        <w:tc>
          <w:tcPr>
            <w:tcW w:w="417" w:type="pct"/>
            <w:noWrap/>
            <w:hideMark/>
          </w:tcPr>
          <w:p w14:paraId="5B6C0536" w14:textId="77777777" w:rsidR="000C62C7" w:rsidRPr="00CF64A8" w:rsidRDefault="000C62C7" w:rsidP="00C23B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F64A8">
              <w:rPr>
                <w:rFonts w:ascii="Calibri" w:eastAsia="Times New Roman" w:hAnsi="Calibri" w:cs="Calibri"/>
                <w:color w:val="000000"/>
              </w:rPr>
              <w:t>86.7</w:t>
            </w:r>
          </w:p>
        </w:tc>
      </w:tr>
    </w:tbl>
    <w:p w14:paraId="52F7B208" w14:textId="77777777" w:rsidR="000C62C7" w:rsidRDefault="000C62C7" w:rsidP="000C62C7">
      <w:pPr>
        <w:pStyle w:val="Caption"/>
      </w:pPr>
      <w:bookmarkStart w:id="35" w:name="_Toc532165391"/>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t>: number of buildings and their average score per year since 2007 in ENERGYSTAR database</w:t>
      </w:r>
      <w:bookmarkEnd w:id="35"/>
    </w:p>
    <w:p w14:paraId="0375CEE0" w14:textId="1473A917" w:rsidR="000C62C7" w:rsidRDefault="000C62C7" w:rsidP="000C62C7">
      <w:r>
        <w:t>We can observe that the score kept improving over all except in 2014 when the score decreased slightly and the number of buildings benchmarking plateaued. The growth resumed the following year.</w:t>
      </w:r>
    </w:p>
    <w:p w14:paraId="342A97B8" w14:textId="18D17AAB" w:rsidR="003B5419" w:rsidRDefault="003B5419" w:rsidP="000C62C7">
      <w:r>
        <w:t>The dataset will be decouple between cities with ordinances and other to identify a correlation with the implementation of ordinances.</w:t>
      </w:r>
    </w:p>
    <w:p w14:paraId="5F65F475" w14:textId="6D49D225" w:rsidR="003B5419" w:rsidRDefault="003B5419" w:rsidP="003B5419">
      <w:r>
        <w:t xml:space="preserve">The same analysis </w:t>
      </w:r>
      <w:proofErr w:type="gramStart"/>
      <w:r>
        <w:t>was conducted</w:t>
      </w:r>
      <w:proofErr w:type="gramEnd"/>
      <w:r>
        <w:t xml:space="preserve"> for the subset of buildings located</w:t>
      </w:r>
      <w:r>
        <w:t xml:space="preserve"> in</w:t>
      </w:r>
      <w:r>
        <w:t xml:space="preserve"> New York, NY and Houston, TX.  New York has the largest population in the </w:t>
      </w:r>
      <w:proofErr w:type="gramStart"/>
      <w:r>
        <w:t>US,</w:t>
      </w:r>
      <w:proofErr w:type="gramEnd"/>
      <w:r>
        <w:t xml:space="preserve"> Houston has the 4</w:t>
      </w:r>
      <w:r w:rsidRPr="00F72A08">
        <w:rPr>
          <w:vertAlign w:val="superscript"/>
        </w:rPr>
        <w:t>th</w:t>
      </w:r>
      <w:r>
        <w:rPr>
          <w:vertAlign w:val="superscript"/>
        </w:rPr>
        <w:t xml:space="preserve"> </w:t>
      </w:r>
      <w:r>
        <w:t xml:space="preserve">largest population and is the largest city without an ordinance. The results </w:t>
      </w:r>
      <w:proofErr w:type="gramStart"/>
      <w:r>
        <w:t>are plotted</w:t>
      </w:r>
      <w:proofErr w:type="gramEnd"/>
      <w:r>
        <w:t xml:space="preserve"> in figure 13.</w:t>
      </w:r>
    </w:p>
    <w:p w14:paraId="65601BFF" w14:textId="77777777" w:rsidR="003B5419" w:rsidRDefault="003B5419" w:rsidP="003B5419">
      <w:pPr>
        <w:ind w:left="1440"/>
      </w:pPr>
      <w:r>
        <w:rPr>
          <w:noProof/>
        </w:rPr>
        <w:drawing>
          <wp:inline distT="0" distB="0" distL="0" distR="0" wp14:anchorId="1F2BFC70" wp14:editId="53B4CB3C">
            <wp:extent cx="4259580" cy="2602230"/>
            <wp:effectExtent l="0" t="0" r="762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1EEA44" w14:textId="77777777" w:rsidR="003B5419" w:rsidRDefault="003B5419" w:rsidP="003B5419">
      <w:pPr>
        <w:pStyle w:val="Caption"/>
      </w:pPr>
      <w:bookmarkStart w:id="36" w:name="_Toc532165415"/>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 growth of ENERGYSTAR buildings in New York City and Houston.</w:t>
      </w:r>
      <w:bookmarkEnd w:id="36"/>
      <w:r>
        <w:t xml:space="preserve"> </w:t>
      </w:r>
    </w:p>
    <w:p w14:paraId="440E0A5F" w14:textId="5F8C697B" w:rsidR="003B5419" w:rsidRDefault="003B5419" w:rsidP="003B5419">
      <w:r>
        <w:t>We can observe that the number of buildings in the database increased,</w:t>
      </w:r>
      <w:r>
        <w:t xml:space="preserve"> </w:t>
      </w:r>
      <w:r>
        <w:t>with a sha</w:t>
      </w:r>
      <w:r>
        <w:t>r</w:t>
      </w:r>
      <w:r>
        <w:t>per slope in 2012 and again in 2014, 3 years after the first deadline of 2011. In Houston, the numbers of building joining the dataset increased at a slower pace than in New York and decreased in 2017.</w:t>
      </w:r>
    </w:p>
    <w:p w14:paraId="69B0A5EB" w14:textId="77777777" w:rsidR="003B5419" w:rsidRDefault="003B5419" w:rsidP="003B5419">
      <w:r>
        <w:t>The average score varied but increased over all in similar growth.</w:t>
      </w:r>
    </w:p>
    <w:p w14:paraId="38DA062F" w14:textId="55AB4239" w:rsidR="003B5419" w:rsidRDefault="003B5419" w:rsidP="003B5419">
      <w:r>
        <w:t>The buildings in Houston consistently have a better score than in New York on average.</w:t>
      </w:r>
    </w:p>
    <w:p w14:paraId="261862E5" w14:textId="2BB67D1C" w:rsidR="003B5419" w:rsidRPr="00992C6D" w:rsidRDefault="003B5419" w:rsidP="003B5419">
      <w:r>
        <w:t xml:space="preserve">This analysis </w:t>
      </w:r>
      <w:proofErr w:type="gramStart"/>
      <w:r>
        <w:t>will be conducted</w:t>
      </w:r>
      <w:proofErr w:type="gramEnd"/>
      <w:r>
        <w:t xml:space="preserve"> for all cities with benchmarking ordinances and the growth in participation due to the ordinance will be quantified.</w:t>
      </w:r>
    </w:p>
    <w:p w14:paraId="0DDD883D" w14:textId="1B7876C5" w:rsidR="003B5419" w:rsidRDefault="003B5419" w:rsidP="00BB13F9">
      <w:pPr>
        <w:pStyle w:val="Heading4"/>
      </w:pPr>
      <w:r>
        <w:t>Continuous benchmarking</w:t>
      </w:r>
    </w:p>
    <w:p w14:paraId="3CFEF12A" w14:textId="176AE564" w:rsidR="003B5419" w:rsidRPr="003B5419" w:rsidRDefault="003B5419" w:rsidP="003B5419">
      <w:r>
        <w:t xml:space="preserve">Ordinances mandates annual benchmarking and the increase of continuous benchmarking due to compliance </w:t>
      </w:r>
      <w:proofErr w:type="gramStart"/>
      <w:r>
        <w:t>will be evaluated</w:t>
      </w:r>
      <w:proofErr w:type="gramEnd"/>
      <w:r>
        <w:t xml:space="preserve"> as compare to voluntary effort. The number of building</w:t>
      </w:r>
      <w:r w:rsidR="00BB13F9">
        <w:t>s</w:t>
      </w:r>
      <w:r>
        <w:t xml:space="preserve"> continuously benchmarking </w:t>
      </w:r>
      <w:r w:rsidR="00BB13F9">
        <w:t>in cities without benchmarking will be estimated and compared to cities with ordinances</w:t>
      </w:r>
    </w:p>
    <w:p w14:paraId="19CCA227" w14:textId="4E2A6A3E" w:rsidR="000C62C7" w:rsidRDefault="00BB13F9" w:rsidP="00BB13F9">
      <w:pPr>
        <w:pStyle w:val="Heading4"/>
      </w:pPr>
      <w:r>
        <w:t>Increase in score over time</w:t>
      </w:r>
    </w:p>
    <w:p w14:paraId="5FAA4CB2" w14:textId="06D49914" w:rsidR="00BB13F9" w:rsidRPr="00BB13F9" w:rsidRDefault="00BB13F9" w:rsidP="00BB13F9">
      <w:r>
        <w:t xml:space="preserve">The increase in </w:t>
      </w:r>
      <w:proofErr w:type="spellStart"/>
      <w:r>
        <w:t>energystar</w:t>
      </w:r>
      <w:proofErr w:type="spellEnd"/>
      <w:r>
        <w:t xml:space="preserve"> score after the first deadline of benchmarking will </w:t>
      </w:r>
      <w:proofErr w:type="gramStart"/>
      <w:r>
        <w:t>be evaluated</w:t>
      </w:r>
      <w:proofErr w:type="gramEnd"/>
      <w:r>
        <w:t xml:space="preserve"> for each cities with ordinances and will be compared to the natural increase in performance when the effort is only voluntary. The statistical significance of the difference </w:t>
      </w:r>
      <w:proofErr w:type="gramStart"/>
      <w:r>
        <w:t>will be evaluated</w:t>
      </w:r>
      <w:proofErr w:type="gramEnd"/>
      <w:r>
        <w:t>.</w:t>
      </w:r>
    </w:p>
    <w:p w14:paraId="3310D850" w14:textId="77777777" w:rsidR="001C3A60" w:rsidRDefault="001C3A60" w:rsidP="00BB13F9">
      <w:pPr>
        <w:pStyle w:val="Heading4"/>
      </w:pPr>
      <w:r>
        <w:t>Overall energy saved</w:t>
      </w:r>
    </w:p>
    <w:p w14:paraId="344C6D9B" w14:textId="77777777" w:rsidR="00BB13F9" w:rsidRDefault="00BB13F9" w:rsidP="001C3A60">
      <w:r>
        <w:t xml:space="preserve">Finally, the overall score improvement in the dataset linked to benchmarking </w:t>
      </w:r>
      <w:proofErr w:type="gramStart"/>
      <w:r>
        <w:t>will be correlated</w:t>
      </w:r>
      <w:proofErr w:type="gramEnd"/>
      <w:r>
        <w:t xml:space="preserve"> to estimated energy savings b</w:t>
      </w:r>
      <w:r w:rsidR="001C3A60">
        <w:t>ased on the public data set from N</w:t>
      </w:r>
      <w:r w:rsidR="007203EE">
        <w:t>ew York</w:t>
      </w:r>
      <w:r>
        <w:t>.</w:t>
      </w:r>
      <w:r w:rsidR="007203EE">
        <w:t xml:space="preserve"> </w:t>
      </w:r>
    </w:p>
    <w:p w14:paraId="42BE67D9" w14:textId="36A6136B" w:rsidR="000B776A" w:rsidRDefault="00BB13F9">
      <w:pPr>
        <w:rPr>
          <w:rFonts w:asciiTheme="majorHAnsi" w:eastAsiaTheme="majorEastAsia" w:hAnsiTheme="majorHAnsi" w:cstheme="majorBidi"/>
          <w:color w:val="365F91" w:themeColor="accent1" w:themeShade="BF"/>
          <w:sz w:val="32"/>
          <w:szCs w:val="32"/>
        </w:rPr>
      </w:pPr>
      <w:r>
        <w:t xml:space="preserve">Once the score increase created through benchmarking ordinance </w:t>
      </w:r>
      <w:proofErr w:type="gramStart"/>
      <w:r>
        <w:t>will be established</w:t>
      </w:r>
      <w:proofErr w:type="gramEnd"/>
      <w:r>
        <w:t xml:space="preserve">, a detail analysis of actual energy saved in New York, NY and the estimated corresponding ENERGYSTAR score improvement will be established, it will be extrapolated to the national dataset to establish an estimated energy. </w:t>
      </w:r>
      <w:r w:rsidR="000B776A">
        <w:br w:type="page"/>
      </w:r>
    </w:p>
    <w:p w14:paraId="1AE3EB5D" w14:textId="646646FE" w:rsidR="00992C6D" w:rsidRDefault="00992C6D" w:rsidP="00700FB8">
      <w:pPr>
        <w:pStyle w:val="Heading1"/>
      </w:pPr>
      <w:bookmarkStart w:id="37" w:name="_Toc532200752"/>
      <w:r>
        <w:lastRenderedPageBreak/>
        <w:t>Deliverables</w:t>
      </w:r>
      <w:bookmarkEnd w:id="37"/>
    </w:p>
    <w:p w14:paraId="34C90F73" w14:textId="7F84AA37" w:rsidR="00992C6D" w:rsidRDefault="00992C6D" w:rsidP="00992C6D"/>
    <w:p w14:paraId="4A8A03C5" w14:textId="77777777" w:rsidR="0034013A" w:rsidRPr="0034013A" w:rsidRDefault="0034013A" w:rsidP="0034013A">
      <w:r w:rsidRPr="0034013A">
        <w:t>The findings of this research will establish quantified benefits that cities with existing benchmarking and transparency ordinances can utilize to justify their climate action plan. Additionally, it creates a roadmap for meeting climate action and energy efficiency goals for cities considering benchmarking and transparency ordinances.</w:t>
      </w:r>
    </w:p>
    <w:p w14:paraId="4F53FA36" w14:textId="2B0EC7AF" w:rsidR="000B776A" w:rsidRDefault="000B776A" w:rsidP="00992C6D">
      <w:r>
        <w:t>While working on stakeholder engagement for the Better Building Energy Data Accelerator, we created a stakeholder engagement checklist to guide local government in reaching out to all the possible stakeholders and listing suggested topics to approach. We also developed case studies, 4 for the Consortium for Building Energy Innovation and 2 for the Better Building Solution Center.</w:t>
      </w:r>
      <w:r w:rsidR="0034013A">
        <w:t xml:space="preserve"> We collaborated with NREL and ICF on </w:t>
      </w:r>
      <w:proofErr w:type="gramStart"/>
      <w:r w:rsidR="0034013A">
        <w:t>3</w:t>
      </w:r>
      <w:proofErr w:type="gramEnd"/>
      <w:r w:rsidR="0034013A">
        <w:t xml:space="preserve"> other documents for the data access toolkit.</w:t>
      </w:r>
    </w:p>
    <w:p w14:paraId="234ECEFF" w14:textId="66431526" w:rsidR="000B776A" w:rsidRDefault="000B776A" w:rsidP="00992C6D">
      <w:r>
        <w:t>I am currently assisting the city of Pit</w:t>
      </w:r>
      <w:r w:rsidR="0034013A">
        <w:t>tsburgh in developing the most relevant</w:t>
      </w:r>
      <w:r>
        <w:t xml:space="preserve"> pathway to complement the benchmarking ordinance. I have created a database</w:t>
      </w:r>
      <w:r w:rsidR="0034013A">
        <w:t xml:space="preserve"> of existing policies and will issue a policy recommendation</w:t>
      </w:r>
      <w:r>
        <w:t xml:space="preserve"> memo before January 2018.</w:t>
      </w:r>
    </w:p>
    <w:p w14:paraId="4BF4DD7A" w14:textId="7D10856D" w:rsidR="000B776A" w:rsidRDefault="000B776A" w:rsidP="00992C6D">
      <w:r>
        <w:t>Finally, I have downloaded and cleaned up the dataset from ENERGYSTAR and will conduct multiple statistical analyses to quantify the impact of benchmarking ordinances.</w:t>
      </w:r>
    </w:p>
    <w:p w14:paraId="7DDBB40F" w14:textId="06F20BA4" w:rsidR="000B776A" w:rsidRDefault="000B776A" w:rsidP="00992C6D">
      <w:r>
        <w:t xml:space="preserve">The timeline for the delivery of these products </w:t>
      </w:r>
      <w:proofErr w:type="gramStart"/>
      <w:r>
        <w:t>is indicated</w:t>
      </w:r>
      <w:proofErr w:type="gramEnd"/>
      <w:r>
        <w:t xml:space="preserve"> in figure </w:t>
      </w:r>
      <w:r w:rsidR="003E7E6A">
        <w:t>13.</w:t>
      </w:r>
    </w:p>
    <w:p w14:paraId="7AE942B4" w14:textId="018BA4AC" w:rsidR="00666FE5" w:rsidRDefault="0034013A" w:rsidP="00992C6D">
      <w:r>
        <w:rPr>
          <w:noProof/>
        </w:rPr>
        <w:drawing>
          <wp:inline distT="0" distB="0" distL="0" distR="0" wp14:anchorId="5A4B1E1F" wp14:editId="0DF16A67">
            <wp:extent cx="5638800" cy="358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3581400"/>
                    </a:xfrm>
                    <a:prstGeom prst="rect">
                      <a:avLst/>
                    </a:prstGeom>
                    <a:noFill/>
                    <a:ln>
                      <a:noFill/>
                    </a:ln>
                  </pic:spPr>
                </pic:pic>
              </a:graphicData>
            </a:graphic>
          </wp:inline>
        </w:drawing>
      </w:r>
    </w:p>
    <w:p w14:paraId="2D66EC5F" w14:textId="449EADB8" w:rsidR="00992C6D" w:rsidRPr="00992C6D" w:rsidRDefault="000B776A" w:rsidP="00BB13F9">
      <w:pPr>
        <w:pStyle w:val="Caption"/>
      </w:pPr>
      <w:bookmarkStart w:id="38" w:name="_Toc532165416"/>
      <w:r>
        <w:t xml:space="preserve">Figure </w:t>
      </w:r>
      <w:r w:rsidR="00461074">
        <w:rPr>
          <w:noProof/>
        </w:rPr>
        <w:fldChar w:fldCharType="begin"/>
      </w:r>
      <w:r w:rsidR="00461074">
        <w:rPr>
          <w:noProof/>
        </w:rPr>
        <w:instrText xml:space="preserve"> SEQ Figure \* ARABIC </w:instrText>
      </w:r>
      <w:r w:rsidR="00461074">
        <w:rPr>
          <w:noProof/>
        </w:rPr>
        <w:fldChar w:fldCharType="separate"/>
      </w:r>
      <w:r w:rsidR="00121B40">
        <w:rPr>
          <w:noProof/>
        </w:rPr>
        <w:t>14</w:t>
      </w:r>
      <w:r w:rsidR="00461074">
        <w:rPr>
          <w:noProof/>
        </w:rPr>
        <w:fldChar w:fldCharType="end"/>
      </w:r>
      <w:r w:rsidR="003E7E6A">
        <w:t>: Research timeline of benchmarking ordinances impacts</w:t>
      </w:r>
      <w:bookmarkEnd w:id="38"/>
    </w:p>
    <w:p w14:paraId="00500267" w14:textId="251C553A" w:rsidR="00992C6D" w:rsidRDefault="002E24C0" w:rsidP="007B6EE5">
      <w:pPr>
        <w:pStyle w:val="Heading1"/>
      </w:pPr>
      <w:r>
        <w:br w:type="page"/>
      </w:r>
      <w:bookmarkStart w:id="39" w:name="_Toc532200753"/>
      <w:r>
        <w:lastRenderedPageBreak/>
        <w:t>References</w:t>
      </w:r>
      <w:bookmarkEnd w:id="39"/>
    </w:p>
    <w:p w14:paraId="22778DA4" w14:textId="496B51D2" w:rsidR="002E24C0" w:rsidRDefault="002E24C0" w:rsidP="002E24C0"/>
    <w:p w14:paraId="7CBDCD6C" w14:textId="77777777" w:rsidR="00B62793" w:rsidRPr="00B62793" w:rsidRDefault="002E24C0" w:rsidP="00B62793">
      <w:pPr>
        <w:pStyle w:val="Bibliography"/>
        <w:rPr>
          <w:rFonts w:ascii="Calibri" w:hAnsi="Calibri" w:cs="Calibri"/>
        </w:rPr>
      </w:pPr>
      <w:r>
        <w:fldChar w:fldCharType="begin"/>
      </w:r>
      <w:r>
        <w:instrText xml:space="preserve"> ADDIN ZOTERO_BIBL {"uncited":[],"omitted":[],"custom":[]} CSL_BIBLIOGRAPHY </w:instrText>
      </w:r>
      <w:r>
        <w:fldChar w:fldCharType="separate"/>
      </w:r>
      <w:proofErr w:type="spellStart"/>
      <w:r w:rsidR="00B62793" w:rsidRPr="00B62793">
        <w:rPr>
          <w:rFonts w:ascii="Calibri" w:hAnsi="Calibri" w:cs="Calibri"/>
        </w:rPr>
        <w:t>Antonoff</w:t>
      </w:r>
      <w:proofErr w:type="spellEnd"/>
      <w:r w:rsidR="00B62793" w:rsidRPr="00B62793">
        <w:rPr>
          <w:rFonts w:ascii="Calibri" w:hAnsi="Calibri" w:cs="Calibri"/>
        </w:rPr>
        <w:t>, Jayson, and Nicole BALLINGER. 2014. Seattle benchmarking process. https://cmu.app.box.com/file/36142095290.</w:t>
      </w:r>
    </w:p>
    <w:p w14:paraId="187EA37F" w14:textId="77777777" w:rsidR="00B62793" w:rsidRPr="00B62793" w:rsidRDefault="00B62793" w:rsidP="00B62793">
      <w:pPr>
        <w:pStyle w:val="Bibliography"/>
        <w:rPr>
          <w:rFonts w:ascii="Calibri" w:hAnsi="Calibri" w:cs="Calibri"/>
        </w:rPr>
      </w:pPr>
      <w:r w:rsidRPr="00B62793">
        <w:rPr>
          <w:rFonts w:ascii="Calibri" w:hAnsi="Calibri" w:cs="Calibri"/>
        </w:rPr>
        <w:t xml:space="preserve">Ballinger, Nicole. 2013. “Seattle’s Energy Benchmarking and Reporting Program.” </w:t>
      </w:r>
      <w:r w:rsidRPr="00B62793">
        <w:rPr>
          <w:rFonts w:ascii="Calibri" w:hAnsi="Calibri" w:cs="Calibri"/>
          <w:i/>
          <w:iCs/>
        </w:rPr>
        <w:t>Presentation]. Seattle : Seattle.Gov</w:t>
      </w:r>
      <w:r w:rsidRPr="00B62793">
        <w:rPr>
          <w:rFonts w:ascii="Calibri" w:hAnsi="Calibri" w:cs="Calibri"/>
        </w:rPr>
        <w:t>.</w:t>
      </w:r>
    </w:p>
    <w:p w14:paraId="4D52EAF8" w14:textId="77777777" w:rsidR="00B62793" w:rsidRPr="00B62793" w:rsidRDefault="00B62793" w:rsidP="00B62793">
      <w:pPr>
        <w:pStyle w:val="Bibliography"/>
        <w:rPr>
          <w:rFonts w:ascii="Calibri" w:hAnsi="Calibri" w:cs="Calibri"/>
        </w:rPr>
      </w:pPr>
      <w:r w:rsidRPr="00B62793">
        <w:rPr>
          <w:rFonts w:ascii="Calibri" w:hAnsi="Calibri" w:cs="Calibri"/>
        </w:rPr>
        <w:t>Bolduc, John. 2014. EDA Stakeholder call with Cambridge.</w:t>
      </w:r>
    </w:p>
    <w:p w14:paraId="010D0FE7" w14:textId="77777777" w:rsidR="00B62793" w:rsidRPr="00B62793" w:rsidRDefault="00B62793" w:rsidP="00B62793">
      <w:pPr>
        <w:pStyle w:val="Bibliography"/>
        <w:rPr>
          <w:rFonts w:ascii="Calibri" w:hAnsi="Calibri" w:cs="Calibri"/>
        </w:rPr>
      </w:pPr>
      <w:r w:rsidRPr="00B62793">
        <w:rPr>
          <w:rFonts w:ascii="Calibri" w:hAnsi="Calibri" w:cs="Calibri"/>
        </w:rPr>
        <w:t xml:space="preserve">Burr, Andrew. 2012. “Energy </w:t>
      </w:r>
      <w:proofErr w:type="spellStart"/>
      <w:r w:rsidRPr="00B62793">
        <w:rPr>
          <w:rFonts w:ascii="Calibri" w:hAnsi="Calibri" w:cs="Calibri"/>
        </w:rPr>
        <w:t>DisclosureThe</w:t>
      </w:r>
      <w:proofErr w:type="spellEnd"/>
      <w:r w:rsidRPr="00B62793">
        <w:rPr>
          <w:rFonts w:ascii="Calibri" w:hAnsi="Calibri" w:cs="Calibri"/>
        </w:rPr>
        <w:t xml:space="preserve"> </w:t>
      </w:r>
      <w:proofErr w:type="gramStart"/>
      <w:r w:rsidRPr="00B62793">
        <w:rPr>
          <w:rFonts w:ascii="Calibri" w:hAnsi="Calibri" w:cs="Calibri"/>
        </w:rPr>
        <w:t>New  Frontier</w:t>
      </w:r>
      <w:proofErr w:type="gramEnd"/>
      <w:r w:rsidRPr="00B62793">
        <w:rPr>
          <w:rFonts w:ascii="Calibri" w:hAnsi="Calibri" w:cs="Calibri"/>
        </w:rPr>
        <w:t xml:space="preserve"> For  American Jobs.” Institute for Market Transformation.</w:t>
      </w:r>
    </w:p>
    <w:p w14:paraId="6D27C24B" w14:textId="77777777" w:rsidR="00B62793" w:rsidRPr="00B62793" w:rsidRDefault="00B62793" w:rsidP="00B62793">
      <w:pPr>
        <w:pStyle w:val="Bibliography"/>
        <w:rPr>
          <w:rFonts w:ascii="Calibri" w:hAnsi="Calibri" w:cs="Calibri"/>
        </w:rPr>
      </w:pPr>
      <w:r w:rsidRPr="00B62793">
        <w:rPr>
          <w:rFonts w:ascii="Calibri" w:hAnsi="Calibri" w:cs="Calibri"/>
        </w:rPr>
        <w:t>City of New York. 2007. “</w:t>
      </w:r>
      <w:proofErr w:type="spellStart"/>
      <w:r w:rsidRPr="00B62793">
        <w:rPr>
          <w:rFonts w:ascii="Calibri" w:hAnsi="Calibri" w:cs="Calibri"/>
        </w:rPr>
        <w:t>PlaNYC</w:t>
      </w:r>
      <w:proofErr w:type="spellEnd"/>
      <w:r w:rsidRPr="00B62793">
        <w:rPr>
          <w:rFonts w:ascii="Calibri" w:hAnsi="Calibri" w:cs="Calibri"/>
        </w:rPr>
        <w:t>, Building a Greener, Greater New York.” The City of New York.</w:t>
      </w:r>
    </w:p>
    <w:p w14:paraId="2955ABFD" w14:textId="77777777" w:rsidR="00B62793" w:rsidRPr="00B62793" w:rsidRDefault="00B62793" w:rsidP="00B62793">
      <w:pPr>
        <w:pStyle w:val="Bibliography"/>
        <w:rPr>
          <w:rFonts w:ascii="Calibri" w:hAnsi="Calibri" w:cs="Calibri"/>
        </w:rPr>
      </w:pPr>
      <w:r w:rsidRPr="00B62793">
        <w:rPr>
          <w:rFonts w:ascii="Calibri" w:hAnsi="Calibri" w:cs="Calibri"/>
        </w:rPr>
        <w:t xml:space="preserve">———. 2018. “NYC Carbon Challenge_2018_Progress </w:t>
      </w:r>
      <w:proofErr w:type="spellStart"/>
      <w:r w:rsidRPr="00B62793">
        <w:rPr>
          <w:rFonts w:ascii="Calibri" w:hAnsi="Calibri" w:cs="Calibri"/>
        </w:rPr>
        <w:t>Report.Pdf</w:t>
      </w:r>
      <w:proofErr w:type="spellEnd"/>
      <w:r w:rsidRPr="00B62793">
        <w:rPr>
          <w:rFonts w:ascii="Calibri" w:hAnsi="Calibri" w:cs="Calibri"/>
        </w:rPr>
        <w:t>.” http://www.nyc.gov/html/gbee/downloads/pdf/NYC%20Carbon%20Challenge_2018_Progress%20Report.pdf.</w:t>
      </w:r>
    </w:p>
    <w:p w14:paraId="56B3C7C6" w14:textId="77777777" w:rsidR="00B62793" w:rsidRPr="00B62793" w:rsidRDefault="00B62793" w:rsidP="00B62793">
      <w:pPr>
        <w:pStyle w:val="Bibliography"/>
        <w:rPr>
          <w:rFonts w:ascii="Calibri" w:hAnsi="Calibri" w:cs="Calibri"/>
        </w:rPr>
      </w:pPr>
      <w:r w:rsidRPr="00B62793">
        <w:rPr>
          <w:rFonts w:ascii="Calibri" w:hAnsi="Calibri" w:cs="Calibri"/>
        </w:rPr>
        <w:t>City of Pittsburgh. 2018. “606_PCAP_3_0_Draft-_9-26-17.Pdf.” http://apps.pittsburghpa.gov/redtail/images/606_PCAP_3_0_Draft-_9-26-17.pdf.</w:t>
      </w:r>
    </w:p>
    <w:p w14:paraId="4A03DFFB" w14:textId="77777777" w:rsidR="00B62793" w:rsidRPr="00B62793" w:rsidRDefault="00B62793" w:rsidP="00B62793">
      <w:pPr>
        <w:pStyle w:val="Bibliography"/>
        <w:rPr>
          <w:rFonts w:ascii="Calibri" w:hAnsi="Calibri" w:cs="Calibri"/>
        </w:rPr>
      </w:pPr>
      <w:r w:rsidRPr="00B62793">
        <w:rPr>
          <w:rFonts w:ascii="Calibri" w:hAnsi="Calibri" w:cs="Calibri"/>
        </w:rPr>
        <w:t>Coleman, Patrick, and Brian Kauffman. 2014. “TRACKING ENERGY TO TAKE ACTION</w:t>
      </w:r>
      <w:proofErr w:type="gramStart"/>
      <w:r w:rsidRPr="00B62793">
        <w:rPr>
          <w:rFonts w:ascii="Calibri" w:hAnsi="Calibri" w:cs="Calibri"/>
        </w:rPr>
        <w:t>:,</w:t>
      </w:r>
      <w:proofErr w:type="gramEnd"/>
      <w:r w:rsidRPr="00B62793">
        <w:rPr>
          <w:rFonts w:ascii="Calibri" w:hAnsi="Calibri" w:cs="Calibri"/>
        </w:rPr>
        <w:t>” 28.</w:t>
      </w:r>
    </w:p>
    <w:p w14:paraId="11B46CFD" w14:textId="77777777" w:rsidR="00B62793" w:rsidRPr="00B62793" w:rsidRDefault="00B62793" w:rsidP="00B62793">
      <w:pPr>
        <w:pStyle w:val="Bibliography"/>
        <w:rPr>
          <w:rFonts w:ascii="Calibri" w:hAnsi="Calibri" w:cs="Calibri"/>
        </w:rPr>
      </w:pPr>
      <w:r w:rsidRPr="00B62793">
        <w:rPr>
          <w:rFonts w:ascii="Calibri" w:hAnsi="Calibri" w:cs="Calibri"/>
        </w:rPr>
        <w:t>DOE. 2012. “Energy Intensity Indicators: Highlights | Department of Energy.” 2012. https://www.energy.gov/eere/analysis/energy-intensity-indicators-highlights.</w:t>
      </w:r>
    </w:p>
    <w:p w14:paraId="51C5E05A" w14:textId="77777777" w:rsidR="00B62793" w:rsidRPr="00B62793" w:rsidRDefault="00B62793" w:rsidP="00B62793">
      <w:pPr>
        <w:pStyle w:val="Bibliography"/>
        <w:rPr>
          <w:rFonts w:ascii="Calibri" w:hAnsi="Calibri" w:cs="Calibri"/>
        </w:rPr>
      </w:pPr>
      <w:r w:rsidRPr="00B62793">
        <w:rPr>
          <w:rFonts w:ascii="Calibri" w:hAnsi="Calibri" w:cs="Calibri"/>
        </w:rPr>
        <w:t>———. 2015. “New York City Benchmarking and Transparency Policy Impact Evaluation Report,” 74.</w:t>
      </w:r>
    </w:p>
    <w:p w14:paraId="2F3CD09C" w14:textId="77777777" w:rsidR="00B62793" w:rsidRPr="00B62793" w:rsidRDefault="00B62793" w:rsidP="00B62793">
      <w:pPr>
        <w:pStyle w:val="Bibliography"/>
        <w:rPr>
          <w:rFonts w:ascii="Calibri" w:hAnsi="Calibri" w:cs="Calibri"/>
        </w:rPr>
      </w:pPr>
      <w:proofErr w:type="spellStart"/>
      <w:proofErr w:type="gramStart"/>
      <w:r w:rsidRPr="00B62793">
        <w:rPr>
          <w:rFonts w:ascii="Calibri" w:hAnsi="Calibri" w:cs="Calibri"/>
        </w:rPr>
        <w:t>Duer</w:t>
      </w:r>
      <w:proofErr w:type="spellEnd"/>
      <w:proofErr w:type="gramEnd"/>
      <w:r w:rsidRPr="00B62793">
        <w:rPr>
          <w:rFonts w:ascii="Calibri" w:hAnsi="Calibri" w:cs="Calibri"/>
        </w:rPr>
        <w:t xml:space="preserve"> </w:t>
      </w:r>
      <w:proofErr w:type="spellStart"/>
      <w:r w:rsidRPr="00B62793">
        <w:rPr>
          <w:rFonts w:ascii="Calibri" w:hAnsi="Calibri" w:cs="Calibri"/>
        </w:rPr>
        <w:t>Balkind</w:t>
      </w:r>
      <w:proofErr w:type="spellEnd"/>
      <w:r w:rsidRPr="00B62793">
        <w:rPr>
          <w:rFonts w:ascii="Calibri" w:hAnsi="Calibri" w:cs="Calibri"/>
        </w:rPr>
        <w:t>, Marshall. 2015. Interview about Stakeholder Engagement and Data access.</w:t>
      </w:r>
    </w:p>
    <w:p w14:paraId="4B1BCA70" w14:textId="77777777" w:rsidR="00B62793" w:rsidRPr="00B62793" w:rsidRDefault="00B62793" w:rsidP="00B62793">
      <w:pPr>
        <w:pStyle w:val="Bibliography"/>
        <w:rPr>
          <w:rFonts w:ascii="Calibri" w:hAnsi="Calibri" w:cs="Calibri"/>
        </w:rPr>
      </w:pPr>
      <w:r w:rsidRPr="00B62793">
        <w:rPr>
          <w:rFonts w:ascii="Calibri" w:hAnsi="Calibri" w:cs="Calibri"/>
        </w:rPr>
        <w:t>EIA. 2012. “Annual Energy Review 2011.” EIA.</w:t>
      </w:r>
    </w:p>
    <w:p w14:paraId="0431F565" w14:textId="77777777" w:rsidR="00B62793" w:rsidRPr="00B62793" w:rsidRDefault="00B62793" w:rsidP="00B62793">
      <w:pPr>
        <w:pStyle w:val="Bibliography"/>
        <w:rPr>
          <w:rFonts w:ascii="Calibri" w:hAnsi="Calibri" w:cs="Calibri"/>
        </w:rPr>
      </w:pPr>
      <w:r w:rsidRPr="00B62793">
        <w:rPr>
          <w:rFonts w:ascii="Calibri" w:hAnsi="Calibri" w:cs="Calibri"/>
        </w:rPr>
        <w:t>———. 2018. “How Much Energy Is Consumed in U.S. Residential and Commercial Buildings? - FAQ - U.S. Energy Information Administration (EIA).” 2018. https://www.eia.gov/tools/faqs/faq.php?id=86&amp;t=1.</w:t>
      </w:r>
    </w:p>
    <w:p w14:paraId="0B9FDAD8"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EnergyStar</w:t>
      </w:r>
      <w:proofErr w:type="spellEnd"/>
      <w:r w:rsidRPr="00B62793">
        <w:rPr>
          <w:rFonts w:ascii="Calibri" w:hAnsi="Calibri" w:cs="Calibri"/>
        </w:rPr>
        <w:t>. 2015. “List of Portfolio Manager Property Type, Definitions, and Use Details.” EPA. https://www.energystar.gov/sites/default/files/tools/Property_Use_Details_and_Definitions_20150210_508.pdf.</w:t>
      </w:r>
    </w:p>
    <w:p w14:paraId="0E9B37F6" w14:textId="77777777" w:rsidR="00B62793" w:rsidRPr="00B62793" w:rsidRDefault="00B62793" w:rsidP="00B62793">
      <w:pPr>
        <w:pStyle w:val="Bibliography"/>
        <w:rPr>
          <w:rFonts w:ascii="Calibri" w:hAnsi="Calibri" w:cs="Calibri"/>
        </w:rPr>
      </w:pPr>
      <w:r w:rsidRPr="00B62793">
        <w:rPr>
          <w:rFonts w:ascii="Calibri" w:hAnsi="Calibri" w:cs="Calibri"/>
        </w:rPr>
        <w:t xml:space="preserve">EPA. 2012. “Benchmarking and Energy Savings.” Portfolio </w:t>
      </w:r>
      <w:proofErr w:type="gramStart"/>
      <w:r w:rsidRPr="00B62793">
        <w:rPr>
          <w:rFonts w:ascii="Calibri" w:hAnsi="Calibri" w:cs="Calibri"/>
        </w:rPr>
        <w:t>Manager  Data</w:t>
      </w:r>
      <w:proofErr w:type="gramEnd"/>
      <w:r w:rsidRPr="00B62793">
        <w:rPr>
          <w:rFonts w:ascii="Calibri" w:hAnsi="Calibri" w:cs="Calibri"/>
        </w:rPr>
        <w:t xml:space="preserve"> Trend. Environmental Protection Agency.</w:t>
      </w:r>
    </w:p>
    <w:p w14:paraId="73BE8146" w14:textId="77777777" w:rsidR="00B62793" w:rsidRPr="00B62793" w:rsidRDefault="00B62793" w:rsidP="00B62793">
      <w:pPr>
        <w:pStyle w:val="Bibliography"/>
        <w:rPr>
          <w:rFonts w:ascii="Calibri" w:hAnsi="Calibri" w:cs="Calibri"/>
        </w:rPr>
      </w:pPr>
      <w:r w:rsidRPr="00B62793">
        <w:rPr>
          <w:rFonts w:ascii="Calibri" w:hAnsi="Calibri" w:cs="Calibri"/>
        </w:rPr>
        <w:t xml:space="preserve">———. 2016. “Energy Star 2015 Snapshot - Measuring Progress in the Commercial and Industrial Buildings Sector - August 2016,” </w:t>
      </w:r>
      <w:proofErr w:type="gramStart"/>
      <w:r w:rsidRPr="00B62793">
        <w:rPr>
          <w:rFonts w:ascii="Calibri" w:hAnsi="Calibri" w:cs="Calibri"/>
        </w:rPr>
        <w:t>August,</w:t>
      </w:r>
      <w:proofErr w:type="gramEnd"/>
      <w:r w:rsidRPr="00B62793">
        <w:rPr>
          <w:rFonts w:ascii="Calibri" w:hAnsi="Calibri" w:cs="Calibri"/>
        </w:rPr>
        <w:t xml:space="preserve"> 28.</w:t>
      </w:r>
    </w:p>
    <w:p w14:paraId="6E72615F"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Faruqui</w:t>
      </w:r>
      <w:proofErr w:type="spellEnd"/>
      <w:r w:rsidRPr="00B62793">
        <w:rPr>
          <w:rFonts w:ascii="Calibri" w:hAnsi="Calibri" w:cs="Calibri"/>
        </w:rPr>
        <w:t xml:space="preserve">, Ahmad, </w:t>
      </w:r>
      <w:proofErr w:type="spellStart"/>
      <w:r w:rsidRPr="00B62793">
        <w:rPr>
          <w:rFonts w:ascii="Calibri" w:hAnsi="Calibri" w:cs="Calibri"/>
        </w:rPr>
        <w:t>Sanem</w:t>
      </w:r>
      <w:proofErr w:type="spellEnd"/>
      <w:r w:rsidRPr="00B62793">
        <w:rPr>
          <w:rFonts w:ascii="Calibri" w:hAnsi="Calibri" w:cs="Calibri"/>
        </w:rPr>
        <w:t xml:space="preserve"> </w:t>
      </w:r>
      <w:proofErr w:type="spellStart"/>
      <w:r w:rsidRPr="00B62793">
        <w:rPr>
          <w:rFonts w:ascii="Calibri" w:hAnsi="Calibri" w:cs="Calibri"/>
        </w:rPr>
        <w:t>Sergici</w:t>
      </w:r>
      <w:proofErr w:type="spellEnd"/>
      <w:r w:rsidRPr="00B62793">
        <w:rPr>
          <w:rFonts w:ascii="Calibri" w:hAnsi="Calibri" w:cs="Calibri"/>
        </w:rPr>
        <w:t xml:space="preserve">, and Ahmed Sharif. 2010. “The Impact of Informational Feedback on Energy Consumption—A Survey of the Experimental Evidence.” </w:t>
      </w:r>
      <w:r w:rsidRPr="00B62793">
        <w:rPr>
          <w:rFonts w:ascii="Calibri" w:hAnsi="Calibri" w:cs="Calibri"/>
          <w:i/>
          <w:iCs/>
        </w:rPr>
        <w:t>Energy</w:t>
      </w:r>
      <w:r w:rsidRPr="00B62793">
        <w:rPr>
          <w:rFonts w:ascii="Calibri" w:hAnsi="Calibri" w:cs="Calibri"/>
        </w:rPr>
        <w:t>, Demand Response Resources: the US and International Experience, 35 (4): 1598–1608. https://doi.org/10.1016/j.energy.2009.07.042.</w:t>
      </w:r>
    </w:p>
    <w:p w14:paraId="350E7EF6"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Fuerst</w:t>
      </w:r>
      <w:proofErr w:type="spellEnd"/>
      <w:r w:rsidRPr="00B62793">
        <w:rPr>
          <w:rFonts w:ascii="Calibri" w:hAnsi="Calibri" w:cs="Calibri"/>
        </w:rPr>
        <w:t xml:space="preserve">, Franz, and Patrick McAllister. 2009. “An Investigation of the Effect of Eco-Labeling on Office Occupancy Rates.” </w:t>
      </w:r>
      <w:r w:rsidRPr="00B62793">
        <w:rPr>
          <w:rFonts w:ascii="Calibri" w:hAnsi="Calibri" w:cs="Calibri"/>
          <w:i/>
          <w:iCs/>
        </w:rPr>
        <w:t>Journal of Sustainable Real Estate</w:t>
      </w:r>
      <w:r w:rsidRPr="00B62793">
        <w:rPr>
          <w:rFonts w:ascii="Calibri" w:hAnsi="Calibri" w:cs="Calibri"/>
        </w:rPr>
        <w:t xml:space="preserve"> 1 (1): 49–64. https://doi.org/10.5555/jsre.1.1.wuk75p1017qhv214.</w:t>
      </w:r>
    </w:p>
    <w:p w14:paraId="08296A2E"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Greenworks</w:t>
      </w:r>
      <w:proofErr w:type="spellEnd"/>
      <w:r w:rsidRPr="00B62793">
        <w:rPr>
          <w:rFonts w:ascii="Calibri" w:hAnsi="Calibri" w:cs="Calibri"/>
        </w:rPr>
        <w:t xml:space="preserve"> Orlando. 2016. “Council Minutes </w:t>
      </w:r>
      <w:proofErr w:type="spellStart"/>
      <w:r w:rsidRPr="00B62793">
        <w:rPr>
          <w:rFonts w:ascii="Calibri" w:hAnsi="Calibri" w:cs="Calibri"/>
        </w:rPr>
        <w:t>GreenWorks</w:t>
      </w:r>
      <w:proofErr w:type="spellEnd"/>
      <w:r w:rsidRPr="00B62793">
        <w:rPr>
          <w:rFonts w:ascii="Calibri" w:hAnsi="Calibri" w:cs="Calibri"/>
        </w:rPr>
        <w:t xml:space="preserve"> BEWES Presentation-9-15-2016.” 2016. http://www.cityoforlando.net/cityclerk/wp-content/uploads/sites/12/2016/09/Council-Minutes-GreenWorks-BEWES-presentation-9-15-2016.pdf.</w:t>
      </w:r>
    </w:p>
    <w:p w14:paraId="37DB0CC6" w14:textId="77777777" w:rsidR="00B62793" w:rsidRPr="00B62793" w:rsidRDefault="00B62793" w:rsidP="00B62793">
      <w:pPr>
        <w:pStyle w:val="Bibliography"/>
        <w:rPr>
          <w:rFonts w:ascii="Calibri" w:hAnsi="Calibri" w:cs="Calibri"/>
        </w:rPr>
      </w:pPr>
      <w:r w:rsidRPr="00B62793">
        <w:rPr>
          <w:rFonts w:ascii="Calibri" w:hAnsi="Calibri" w:cs="Calibri"/>
        </w:rPr>
        <w:t>Hart. 2018. “Sharing-Data-to-Motivate-</w:t>
      </w:r>
      <w:proofErr w:type="spellStart"/>
      <w:r w:rsidRPr="00B62793">
        <w:rPr>
          <w:rFonts w:ascii="Calibri" w:hAnsi="Calibri" w:cs="Calibri"/>
        </w:rPr>
        <w:t>Action.Pdf</w:t>
      </w:r>
      <w:proofErr w:type="spellEnd"/>
      <w:r w:rsidRPr="00B62793">
        <w:rPr>
          <w:rFonts w:ascii="Calibri" w:hAnsi="Calibri" w:cs="Calibri"/>
        </w:rPr>
        <w:t>.” 2018. https://www.imt.org/wp-content/uploads/2018/05/Sharing-Data-to-Motivate-Action.pdf.</w:t>
      </w:r>
    </w:p>
    <w:p w14:paraId="6985EC42" w14:textId="77777777" w:rsidR="00B62793" w:rsidRPr="00B62793" w:rsidRDefault="00B62793" w:rsidP="00B62793">
      <w:pPr>
        <w:pStyle w:val="Bibliography"/>
        <w:rPr>
          <w:rFonts w:ascii="Calibri" w:hAnsi="Calibri" w:cs="Calibri"/>
        </w:rPr>
      </w:pPr>
      <w:r w:rsidRPr="00B62793">
        <w:rPr>
          <w:rFonts w:ascii="Calibri" w:hAnsi="Calibri" w:cs="Calibri"/>
        </w:rPr>
        <w:t>Hawken. 2017. “Drawdown.” Drawdown. 2017. https://www.drawdown.org/.</w:t>
      </w:r>
    </w:p>
    <w:p w14:paraId="51C58222" w14:textId="77777777" w:rsidR="00B62793" w:rsidRPr="00B62793" w:rsidRDefault="00B62793" w:rsidP="00B62793">
      <w:pPr>
        <w:pStyle w:val="Bibliography"/>
        <w:rPr>
          <w:rFonts w:ascii="Calibri" w:hAnsi="Calibri" w:cs="Calibri"/>
        </w:rPr>
      </w:pPr>
      <w:r w:rsidRPr="00B62793">
        <w:rPr>
          <w:rFonts w:ascii="Calibri" w:hAnsi="Calibri" w:cs="Calibri"/>
        </w:rPr>
        <w:t xml:space="preserve">Hsu, David. 2014. “Improving Energy Benchmarking with Self-Reported Data.” </w:t>
      </w:r>
      <w:r w:rsidRPr="00B62793">
        <w:rPr>
          <w:rFonts w:ascii="Calibri" w:hAnsi="Calibri" w:cs="Calibri"/>
          <w:i/>
          <w:iCs/>
        </w:rPr>
        <w:t>Building Research &amp; Information</w:t>
      </w:r>
      <w:r w:rsidRPr="00B62793">
        <w:rPr>
          <w:rFonts w:ascii="Calibri" w:hAnsi="Calibri" w:cs="Calibri"/>
        </w:rPr>
        <w:t xml:space="preserve"> 42 (5): 641–56. https://doi.org/10.1080/09613218.2014.887612.</w:t>
      </w:r>
    </w:p>
    <w:p w14:paraId="211E2A3F"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Krukowski</w:t>
      </w:r>
      <w:proofErr w:type="spellEnd"/>
      <w:r w:rsidRPr="00B62793">
        <w:rPr>
          <w:rFonts w:ascii="Calibri" w:hAnsi="Calibri" w:cs="Calibri"/>
        </w:rPr>
        <w:t>, Andrea. 2014. “Creating Value from Benchmarking:  A Utility Perspective.” IMT.</w:t>
      </w:r>
    </w:p>
    <w:p w14:paraId="1D4768D6"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Mazria</w:t>
      </w:r>
      <w:proofErr w:type="spellEnd"/>
      <w:r w:rsidRPr="00B62793">
        <w:rPr>
          <w:rFonts w:ascii="Calibri" w:hAnsi="Calibri" w:cs="Calibri"/>
        </w:rPr>
        <w:t>, Ed. 2002. “About Us – Architecture 2030.” 2002. https://architecture2030.org/about/.</w:t>
      </w:r>
    </w:p>
    <w:p w14:paraId="578DAB30" w14:textId="77777777" w:rsidR="00B62793" w:rsidRPr="00B62793" w:rsidRDefault="00B62793" w:rsidP="00B62793">
      <w:pPr>
        <w:pStyle w:val="Bibliography"/>
        <w:rPr>
          <w:rFonts w:ascii="Calibri" w:hAnsi="Calibri" w:cs="Calibri"/>
        </w:rPr>
      </w:pPr>
      <w:r w:rsidRPr="00B62793">
        <w:rPr>
          <w:rFonts w:ascii="Calibri" w:hAnsi="Calibri" w:cs="Calibri"/>
        </w:rPr>
        <w:t xml:space="preserve">Mims, N., S. Schiller, E. Stuart, L. Schwartz, C. Kramer, and R. </w:t>
      </w:r>
      <w:proofErr w:type="spellStart"/>
      <w:r w:rsidRPr="00B62793">
        <w:rPr>
          <w:rFonts w:ascii="Calibri" w:hAnsi="Calibri" w:cs="Calibri"/>
        </w:rPr>
        <w:t>Faesy</w:t>
      </w:r>
      <w:proofErr w:type="spellEnd"/>
      <w:r w:rsidRPr="00B62793">
        <w:rPr>
          <w:rFonts w:ascii="Calibri" w:hAnsi="Calibri" w:cs="Calibri"/>
        </w:rPr>
        <w:t>. 2017. “Evaluation of U.S. Building Energy Benchmarking and Transparency Programs: Attributes, Impacts, and Best Practices,” April. https://escholarship.org/uc/item/3170j728.</w:t>
      </w:r>
    </w:p>
    <w:p w14:paraId="70ED3B48" w14:textId="77777777" w:rsidR="00B62793" w:rsidRPr="00B62793" w:rsidRDefault="00B62793" w:rsidP="00B62793">
      <w:pPr>
        <w:pStyle w:val="Bibliography"/>
        <w:rPr>
          <w:rFonts w:ascii="Calibri" w:hAnsi="Calibri" w:cs="Calibri"/>
        </w:rPr>
      </w:pPr>
      <w:proofErr w:type="spellStart"/>
      <w:r w:rsidRPr="00B62793">
        <w:rPr>
          <w:rFonts w:ascii="Calibri" w:hAnsi="Calibri" w:cs="Calibri"/>
        </w:rPr>
        <w:t>Monisha</w:t>
      </w:r>
      <w:proofErr w:type="spellEnd"/>
      <w:r w:rsidRPr="00B62793">
        <w:rPr>
          <w:rFonts w:ascii="Calibri" w:hAnsi="Calibri" w:cs="Calibri"/>
        </w:rPr>
        <w:t xml:space="preserve"> Shah. 2015. “Energy Data Accelerator Partners Workshop.” May.</w:t>
      </w:r>
    </w:p>
    <w:p w14:paraId="58083A1B" w14:textId="77777777" w:rsidR="00B62793" w:rsidRPr="00B62793" w:rsidRDefault="00B62793" w:rsidP="00B62793">
      <w:pPr>
        <w:pStyle w:val="Bibliography"/>
        <w:rPr>
          <w:rFonts w:ascii="Calibri" w:hAnsi="Calibri" w:cs="Calibri"/>
        </w:rPr>
      </w:pPr>
      <w:r w:rsidRPr="00B62793">
        <w:rPr>
          <w:rFonts w:ascii="Calibri" w:hAnsi="Calibri" w:cs="Calibri"/>
        </w:rPr>
        <w:t xml:space="preserve">NEEP. 2013. “Building Energy Rating and Disclosure Policies Update and Lessons </w:t>
      </w:r>
      <w:proofErr w:type="gramStart"/>
      <w:r w:rsidRPr="00B62793">
        <w:rPr>
          <w:rFonts w:ascii="Calibri" w:hAnsi="Calibri" w:cs="Calibri"/>
        </w:rPr>
        <w:t>From</w:t>
      </w:r>
      <w:proofErr w:type="gramEnd"/>
      <w:r w:rsidRPr="00B62793">
        <w:rPr>
          <w:rFonts w:ascii="Calibri" w:hAnsi="Calibri" w:cs="Calibri"/>
        </w:rPr>
        <w:t xml:space="preserve"> the Field.” 2013. https://neep.org/sites/default/files/resources/BER%20Supplement_FINAL%20DRAFT_2-25-13.pdf.</w:t>
      </w:r>
    </w:p>
    <w:p w14:paraId="4EAA0EE0" w14:textId="77777777" w:rsidR="00B62793" w:rsidRPr="00B62793" w:rsidRDefault="00B62793" w:rsidP="00B62793">
      <w:pPr>
        <w:pStyle w:val="Bibliography"/>
        <w:rPr>
          <w:rFonts w:ascii="Calibri" w:hAnsi="Calibri" w:cs="Calibri"/>
        </w:rPr>
      </w:pPr>
      <w:r w:rsidRPr="00B62793">
        <w:rPr>
          <w:rFonts w:ascii="Calibri" w:hAnsi="Calibri" w:cs="Calibri"/>
        </w:rPr>
        <w:t>NEMA. 2017. “Energy Benchmarking Policies Lead to Installation of Energy-Saving Technologies - NEMA.” 2017. https://www.nema.org/news/Pages/Energy-Benchmarking-Policies-Lead-to-Installation-of-Energy-Saving-Technologies.aspx.</w:t>
      </w:r>
    </w:p>
    <w:p w14:paraId="6D0984E2" w14:textId="77777777" w:rsidR="00B62793" w:rsidRPr="00B62793" w:rsidRDefault="00B62793" w:rsidP="00B62793">
      <w:pPr>
        <w:pStyle w:val="Bibliography"/>
        <w:rPr>
          <w:rFonts w:ascii="Calibri" w:hAnsi="Calibri" w:cs="Calibri"/>
        </w:rPr>
      </w:pPr>
      <w:r w:rsidRPr="00B62793">
        <w:rPr>
          <w:rFonts w:ascii="Calibri" w:hAnsi="Calibri" w:cs="Calibri"/>
        </w:rPr>
        <w:t>NMR group, Howard. 2012. “Statewide Benchmarking Process Evaluation,” 200.</w:t>
      </w:r>
    </w:p>
    <w:p w14:paraId="213BC651" w14:textId="77777777" w:rsidR="00B62793" w:rsidRPr="00B62793" w:rsidRDefault="00B62793" w:rsidP="00B62793">
      <w:pPr>
        <w:pStyle w:val="Bibliography"/>
        <w:rPr>
          <w:rFonts w:ascii="Calibri" w:hAnsi="Calibri" w:cs="Calibri"/>
        </w:rPr>
      </w:pPr>
      <w:r w:rsidRPr="00B62793">
        <w:rPr>
          <w:rFonts w:ascii="Calibri" w:hAnsi="Calibri" w:cs="Calibri"/>
        </w:rPr>
        <w:t xml:space="preserve">Palmer, Karen, and Margaret Walls. 2014. “Can Benchmarking and Disclosure Laws Provide Incentives </w:t>
      </w:r>
      <w:proofErr w:type="gramStart"/>
      <w:r w:rsidRPr="00B62793">
        <w:rPr>
          <w:rFonts w:ascii="Calibri" w:hAnsi="Calibri" w:cs="Calibri"/>
        </w:rPr>
        <w:t>for  Energy</w:t>
      </w:r>
      <w:proofErr w:type="gramEnd"/>
      <w:r w:rsidRPr="00B62793">
        <w:rPr>
          <w:rFonts w:ascii="Calibri" w:hAnsi="Calibri" w:cs="Calibri"/>
        </w:rPr>
        <w:t xml:space="preserve"> Efficiency Improvements in Commercial Buildings?” In </w:t>
      </w:r>
      <w:r w:rsidRPr="00B62793">
        <w:rPr>
          <w:rFonts w:ascii="Calibri" w:hAnsi="Calibri" w:cs="Calibri"/>
          <w:i/>
          <w:iCs/>
        </w:rPr>
        <w:t>Large Opportunities, Complex Challenges: Seizing the Energy Efficiency Opportunity in the Commercial Buildings Sector</w:t>
      </w:r>
      <w:r w:rsidRPr="00B62793">
        <w:rPr>
          <w:rFonts w:ascii="Calibri" w:hAnsi="Calibri" w:cs="Calibri"/>
        </w:rPr>
        <w:t>.</w:t>
      </w:r>
    </w:p>
    <w:p w14:paraId="0D33E0C7" w14:textId="77777777" w:rsidR="00B62793" w:rsidRPr="00B62793" w:rsidRDefault="00B62793" w:rsidP="00B62793">
      <w:pPr>
        <w:pStyle w:val="Bibliography"/>
        <w:rPr>
          <w:rFonts w:ascii="Calibri" w:hAnsi="Calibri" w:cs="Calibri"/>
        </w:rPr>
      </w:pPr>
      <w:r w:rsidRPr="00B62793">
        <w:rPr>
          <w:rFonts w:ascii="Calibri" w:hAnsi="Calibri" w:cs="Calibri"/>
        </w:rPr>
        <w:t xml:space="preserve">Pérez-Lombard, Luis, José Ortiz, </w:t>
      </w:r>
      <w:proofErr w:type="spellStart"/>
      <w:r w:rsidRPr="00B62793">
        <w:rPr>
          <w:rFonts w:ascii="Calibri" w:hAnsi="Calibri" w:cs="Calibri"/>
        </w:rPr>
        <w:t>Rocío</w:t>
      </w:r>
      <w:proofErr w:type="spellEnd"/>
      <w:r w:rsidRPr="00B62793">
        <w:rPr>
          <w:rFonts w:ascii="Calibri" w:hAnsi="Calibri" w:cs="Calibri"/>
        </w:rPr>
        <w:t xml:space="preserve"> González, and Ismael R. </w:t>
      </w:r>
      <w:proofErr w:type="spellStart"/>
      <w:r w:rsidRPr="00B62793">
        <w:rPr>
          <w:rFonts w:ascii="Calibri" w:hAnsi="Calibri" w:cs="Calibri"/>
        </w:rPr>
        <w:t>Maestre</w:t>
      </w:r>
      <w:proofErr w:type="spellEnd"/>
      <w:r w:rsidRPr="00B62793">
        <w:rPr>
          <w:rFonts w:ascii="Calibri" w:hAnsi="Calibri" w:cs="Calibri"/>
        </w:rPr>
        <w:t xml:space="preserve">. 2009. “A Review of Benchmarking, Rating and Labelling Concepts within the Framework of Building Energy Certification Schemes.” </w:t>
      </w:r>
      <w:r w:rsidRPr="00B62793">
        <w:rPr>
          <w:rFonts w:ascii="Calibri" w:hAnsi="Calibri" w:cs="Calibri"/>
          <w:i/>
          <w:iCs/>
        </w:rPr>
        <w:t>Energy and Buildings</w:t>
      </w:r>
      <w:r w:rsidRPr="00B62793">
        <w:rPr>
          <w:rFonts w:ascii="Calibri" w:hAnsi="Calibri" w:cs="Calibri"/>
        </w:rPr>
        <w:t xml:space="preserve"> 41 (3): 272–78. https://doi.org/10.1016/j.enbuild.2008.10.004.</w:t>
      </w:r>
    </w:p>
    <w:p w14:paraId="1A42F37C" w14:textId="77777777" w:rsidR="00B62793" w:rsidRPr="00B62793" w:rsidRDefault="00B62793" w:rsidP="00B62793">
      <w:pPr>
        <w:pStyle w:val="Bibliography"/>
        <w:rPr>
          <w:rFonts w:ascii="Calibri" w:hAnsi="Calibri" w:cs="Calibri"/>
        </w:rPr>
      </w:pPr>
      <w:r w:rsidRPr="00B62793">
        <w:rPr>
          <w:rFonts w:ascii="Calibri" w:hAnsi="Calibri" w:cs="Calibri"/>
        </w:rPr>
        <w:t xml:space="preserve">Shah, </w:t>
      </w:r>
      <w:proofErr w:type="spellStart"/>
      <w:r w:rsidRPr="00B62793">
        <w:rPr>
          <w:rFonts w:ascii="Calibri" w:hAnsi="Calibri" w:cs="Calibri"/>
        </w:rPr>
        <w:t>Monisha</w:t>
      </w:r>
      <w:proofErr w:type="spellEnd"/>
      <w:r w:rsidRPr="00B62793">
        <w:rPr>
          <w:rFonts w:ascii="Calibri" w:hAnsi="Calibri" w:cs="Calibri"/>
        </w:rPr>
        <w:t>, Andrew Burr, Andrew Schulte, Kristin Field-</w:t>
      </w:r>
      <w:proofErr w:type="spellStart"/>
      <w:r w:rsidRPr="00B62793">
        <w:rPr>
          <w:rFonts w:ascii="Calibri" w:hAnsi="Calibri" w:cs="Calibri"/>
        </w:rPr>
        <w:t>Macumber</w:t>
      </w:r>
      <w:proofErr w:type="spellEnd"/>
      <w:r w:rsidRPr="00B62793">
        <w:rPr>
          <w:rFonts w:ascii="Calibri" w:hAnsi="Calibri" w:cs="Calibri"/>
        </w:rPr>
        <w:t>, Erica Cochran-</w:t>
      </w:r>
      <w:proofErr w:type="spellStart"/>
      <w:r w:rsidRPr="00B62793">
        <w:rPr>
          <w:rFonts w:ascii="Calibri" w:hAnsi="Calibri" w:cs="Calibri"/>
        </w:rPr>
        <w:t>Hameen</w:t>
      </w:r>
      <w:proofErr w:type="spellEnd"/>
      <w:r w:rsidRPr="00B62793">
        <w:rPr>
          <w:rFonts w:ascii="Calibri" w:hAnsi="Calibri" w:cs="Calibri"/>
        </w:rPr>
        <w:t>, and Flore Marion. 2016. “DOE Voluntary Partnership Program with Utilities and Local Governments Supports the Design of New Data Access Solutions.” NREL/CP-6A20-66233. Washington, D.C.: American Council for an Energy-Efficient Economy (ACEEE). https://www.osti.gov/biblio/1324397.</w:t>
      </w:r>
    </w:p>
    <w:p w14:paraId="352ECC64" w14:textId="5C804EA4" w:rsidR="002E24C0" w:rsidRPr="002E24C0" w:rsidRDefault="002E24C0" w:rsidP="002E24C0">
      <w:pPr>
        <w:spacing w:after="240"/>
      </w:pPr>
      <w:r>
        <w:fldChar w:fldCharType="end"/>
      </w:r>
    </w:p>
    <w:sectPr w:rsidR="002E24C0" w:rsidRPr="002E24C0" w:rsidSect="00073A3B">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5DF88" w14:textId="77777777" w:rsidR="00121B40" w:rsidRDefault="00121B40" w:rsidP="00BC4BA5">
      <w:pPr>
        <w:spacing w:after="0" w:line="240" w:lineRule="auto"/>
      </w:pPr>
      <w:r>
        <w:separator/>
      </w:r>
    </w:p>
  </w:endnote>
  <w:endnote w:type="continuationSeparator" w:id="0">
    <w:p w14:paraId="5F1DFC75" w14:textId="77777777" w:rsidR="00121B40" w:rsidRDefault="00121B40" w:rsidP="00BC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477843"/>
      <w:docPartObj>
        <w:docPartGallery w:val="Page Numbers (Bottom of Page)"/>
        <w:docPartUnique/>
      </w:docPartObj>
    </w:sdtPr>
    <w:sdtEndPr>
      <w:rPr>
        <w:noProof/>
      </w:rPr>
    </w:sdtEndPr>
    <w:sdtContent>
      <w:p w14:paraId="1385F325" w14:textId="0982D3F2" w:rsidR="00121B40" w:rsidRDefault="00121B40">
        <w:pPr>
          <w:pStyle w:val="Footer"/>
          <w:jc w:val="center"/>
        </w:pPr>
        <w:r>
          <w:fldChar w:fldCharType="begin"/>
        </w:r>
        <w:r>
          <w:instrText xml:space="preserve"> PAGE   \* MERGEFORMAT </w:instrText>
        </w:r>
        <w:r>
          <w:fldChar w:fldCharType="separate"/>
        </w:r>
        <w:r w:rsidR="00391C68">
          <w:rPr>
            <w:noProof/>
          </w:rPr>
          <w:t>32</w:t>
        </w:r>
        <w:r>
          <w:rPr>
            <w:noProof/>
          </w:rPr>
          <w:fldChar w:fldCharType="end"/>
        </w:r>
      </w:p>
    </w:sdtContent>
  </w:sdt>
  <w:p w14:paraId="737C81FF" w14:textId="77777777" w:rsidR="00121B40" w:rsidRDefault="00121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9862D" w14:textId="77777777" w:rsidR="00121B40" w:rsidRDefault="00121B40" w:rsidP="00BC4BA5">
      <w:pPr>
        <w:spacing w:after="0" w:line="240" w:lineRule="auto"/>
      </w:pPr>
      <w:r>
        <w:separator/>
      </w:r>
    </w:p>
  </w:footnote>
  <w:footnote w:type="continuationSeparator" w:id="0">
    <w:p w14:paraId="1895067E" w14:textId="77777777" w:rsidR="00121B40" w:rsidRDefault="00121B40" w:rsidP="00BC4BA5">
      <w:pPr>
        <w:spacing w:after="0" w:line="240" w:lineRule="auto"/>
      </w:pPr>
      <w:r>
        <w:continuationSeparator/>
      </w:r>
    </w:p>
  </w:footnote>
  <w:footnote w:id="1">
    <w:p w14:paraId="7F5F0DB5" w14:textId="3E10C071" w:rsidR="00121B40" w:rsidRDefault="00121B40">
      <w:pPr>
        <w:pStyle w:val="FootnoteText"/>
      </w:pPr>
      <w:r w:rsidRPr="00461074">
        <w:rPr>
          <w:rStyle w:val="FootnoteReference"/>
        </w:rPr>
        <w:footnoteRef/>
      </w:r>
      <w:r>
        <w:t xml:space="preserve"> DVGBC is now </w:t>
      </w:r>
      <w:proofErr w:type="spellStart"/>
      <w:r>
        <w:t>Greenbuild</w:t>
      </w:r>
      <w:proofErr w:type="spellEnd"/>
      <w:r>
        <w:t xml:space="preserve"> United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91D"/>
    <w:multiLevelType w:val="hybridMultilevel"/>
    <w:tmpl w:val="801E6878"/>
    <w:lvl w:ilvl="0" w:tplc="F1A8591C">
      <w:start w:val="1"/>
      <w:numFmt w:val="bullet"/>
      <w:lvlText w:val="•"/>
      <w:lvlJc w:val="left"/>
      <w:pPr>
        <w:tabs>
          <w:tab w:val="num" w:pos="720"/>
        </w:tabs>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701C2"/>
    <w:multiLevelType w:val="hybridMultilevel"/>
    <w:tmpl w:val="32DA21C6"/>
    <w:lvl w:ilvl="0" w:tplc="EB62AD22">
      <w:start w:val="1"/>
      <w:numFmt w:val="bullet"/>
      <w:lvlText w:val="o"/>
      <w:lvlJc w:val="left"/>
      <w:pPr>
        <w:tabs>
          <w:tab w:val="num" w:pos="720"/>
        </w:tabs>
        <w:ind w:left="720" w:hanging="360"/>
      </w:pPr>
      <w:rPr>
        <w:rFonts w:ascii="Courier New" w:hAnsi="Courier New" w:hint="default"/>
      </w:rPr>
    </w:lvl>
    <w:lvl w:ilvl="1" w:tplc="67E42E72" w:tentative="1">
      <w:start w:val="1"/>
      <w:numFmt w:val="bullet"/>
      <w:lvlText w:val="o"/>
      <w:lvlJc w:val="left"/>
      <w:pPr>
        <w:tabs>
          <w:tab w:val="num" w:pos="1440"/>
        </w:tabs>
        <w:ind w:left="1440" w:hanging="360"/>
      </w:pPr>
      <w:rPr>
        <w:rFonts w:ascii="Courier New" w:hAnsi="Courier New" w:hint="default"/>
      </w:rPr>
    </w:lvl>
    <w:lvl w:ilvl="2" w:tplc="1F3A6520" w:tentative="1">
      <w:start w:val="1"/>
      <w:numFmt w:val="bullet"/>
      <w:lvlText w:val="o"/>
      <w:lvlJc w:val="left"/>
      <w:pPr>
        <w:tabs>
          <w:tab w:val="num" w:pos="2160"/>
        </w:tabs>
        <w:ind w:left="2160" w:hanging="360"/>
      </w:pPr>
      <w:rPr>
        <w:rFonts w:ascii="Courier New" w:hAnsi="Courier New" w:hint="default"/>
      </w:rPr>
    </w:lvl>
    <w:lvl w:ilvl="3" w:tplc="054EF278" w:tentative="1">
      <w:start w:val="1"/>
      <w:numFmt w:val="bullet"/>
      <w:lvlText w:val="o"/>
      <w:lvlJc w:val="left"/>
      <w:pPr>
        <w:tabs>
          <w:tab w:val="num" w:pos="2880"/>
        </w:tabs>
        <w:ind w:left="2880" w:hanging="360"/>
      </w:pPr>
      <w:rPr>
        <w:rFonts w:ascii="Courier New" w:hAnsi="Courier New" w:hint="default"/>
      </w:rPr>
    </w:lvl>
    <w:lvl w:ilvl="4" w:tplc="69823F2E" w:tentative="1">
      <w:start w:val="1"/>
      <w:numFmt w:val="bullet"/>
      <w:lvlText w:val="o"/>
      <w:lvlJc w:val="left"/>
      <w:pPr>
        <w:tabs>
          <w:tab w:val="num" w:pos="3600"/>
        </w:tabs>
        <w:ind w:left="3600" w:hanging="360"/>
      </w:pPr>
      <w:rPr>
        <w:rFonts w:ascii="Courier New" w:hAnsi="Courier New" w:hint="default"/>
      </w:rPr>
    </w:lvl>
    <w:lvl w:ilvl="5" w:tplc="3208AE3C" w:tentative="1">
      <w:start w:val="1"/>
      <w:numFmt w:val="bullet"/>
      <w:lvlText w:val="o"/>
      <w:lvlJc w:val="left"/>
      <w:pPr>
        <w:tabs>
          <w:tab w:val="num" w:pos="4320"/>
        </w:tabs>
        <w:ind w:left="4320" w:hanging="360"/>
      </w:pPr>
      <w:rPr>
        <w:rFonts w:ascii="Courier New" w:hAnsi="Courier New" w:hint="default"/>
      </w:rPr>
    </w:lvl>
    <w:lvl w:ilvl="6" w:tplc="E28A4F30" w:tentative="1">
      <w:start w:val="1"/>
      <w:numFmt w:val="bullet"/>
      <w:lvlText w:val="o"/>
      <w:lvlJc w:val="left"/>
      <w:pPr>
        <w:tabs>
          <w:tab w:val="num" w:pos="5040"/>
        </w:tabs>
        <w:ind w:left="5040" w:hanging="360"/>
      </w:pPr>
      <w:rPr>
        <w:rFonts w:ascii="Courier New" w:hAnsi="Courier New" w:hint="default"/>
      </w:rPr>
    </w:lvl>
    <w:lvl w:ilvl="7" w:tplc="5B867788" w:tentative="1">
      <w:start w:val="1"/>
      <w:numFmt w:val="bullet"/>
      <w:lvlText w:val="o"/>
      <w:lvlJc w:val="left"/>
      <w:pPr>
        <w:tabs>
          <w:tab w:val="num" w:pos="5760"/>
        </w:tabs>
        <w:ind w:left="5760" w:hanging="360"/>
      </w:pPr>
      <w:rPr>
        <w:rFonts w:ascii="Courier New" w:hAnsi="Courier New" w:hint="default"/>
      </w:rPr>
    </w:lvl>
    <w:lvl w:ilvl="8" w:tplc="01A8C6CE"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15DD6C7A"/>
    <w:multiLevelType w:val="hybridMultilevel"/>
    <w:tmpl w:val="C8B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39314C"/>
    <w:multiLevelType w:val="multilevel"/>
    <w:tmpl w:val="C932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17546"/>
    <w:multiLevelType w:val="hybridMultilevel"/>
    <w:tmpl w:val="872A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15AAD"/>
    <w:multiLevelType w:val="hybridMultilevel"/>
    <w:tmpl w:val="ADC63404"/>
    <w:lvl w:ilvl="0" w:tplc="C908BA0C">
      <w:start w:val="1"/>
      <w:numFmt w:val="bullet"/>
      <w:lvlText w:val="•"/>
      <w:lvlJc w:val="left"/>
      <w:pPr>
        <w:tabs>
          <w:tab w:val="num" w:pos="720"/>
        </w:tabs>
        <w:ind w:left="720" w:hanging="360"/>
      </w:pPr>
      <w:rPr>
        <w:rFonts w:ascii="Corbel" w:hAnsi="Corbel" w:hint="default"/>
      </w:rPr>
    </w:lvl>
    <w:lvl w:ilvl="1" w:tplc="D8D28D00" w:tentative="1">
      <w:start w:val="1"/>
      <w:numFmt w:val="bullet"/>
      <w:lvlText w:val="•"/>
      <w:lvlJc w:val="left"/>
      <w:pPr>
        <w:tabs>
          <w:tab w:val="num" w:pos="1440"/>
        </w:tabs>
        <w:ind w:left="1440" w:hanging="360"/>
      </w:pPr>
      <w:rPr>
        <w:rFonts w:ascii="Corbel" w:hAnsi="Corbel" w:hint="default"/>
      </w:rPr>
    </w:lvl>
    <w:lvl w:ilvl="2" w:tplc="D652997C" w:tentative="1">
      <w:start w:val="1"/>
      <w:numFmt w:val="bullet"/>
      <w:lvlText w:val="•"/>
      <w:lvlJc w:val="left"/>
      <w:pPr>
        <w:tabs>
          <w:tab w:val="num" w:pos="2160"/>
        </w:tabs>
        <w:ind w:left="2160" w:hanging="360"/>
      </w:pPr>
      <w:rPr>
        <w:rFonts w:ascii="Corbel" w:hAnsi="Corbel" w:hint="default"/>
      </w:rPr>
    </w:lvl>
    <w:lvl w:ilvl="3" w:tplc="9604BD5E" w:tentative="1">
      <w:start w:val="1"/>
      <w:numFmt w:val="bullet"/>
      <w:lvlText w:val="•"/>
      <w:lvlJc w:val="left"/>
      <w:pPr>
        <w:tabs>
          <w:tab w:val="num" w:pos="2880"/>
        </w:tabs>
        <w:ind w:left="2880" w:hanging="360"/>
      </w:pPr>
      <w:rPr>
        <w:rFonts w:ascii="Corbel" w:hAnsi="Corbel" w:hint="default"/>
      </w:rPr>
    </w:lvl>
    <w:lvl w:ilvl="4" w:tplc="373686C8" w:tentative="1">
      <w:start w:val="1"/>
      <w:numFmt w:val="bullet"/>
      <w:lvlText w:val="•"/>
      <w:lvlJc w:val="left"/>
      <w:pPr>
        <w:tabs>
          <w:tab w:val="num" w:pos="3600"/>
        </w:tabs>
        <w:ind w:left="3600" w:hanging="360"/>
      </w:pPr>
      <w:rPr>
        <w:rFonts w:ascii="Corbel" w:hAnsi="Corbel" w:hint="default"/>
      </w:rPr>
    </w:lvl>
    <w:lvl w:ilvl="5" w:tplc="20E67F60" w:tentative="1">
      <w:start w:val="1"/>
      <w:numFmt w:val="bullet"/>
      <w:lvlText w:val="•"/>
      <w:lvlJc w:val="left"/>
      <w:pPr>
        <w:tabs>
          <w:tab w:val="num" w:pos="4320"/>
        </w:tabs>
        <w:ind w:left="4320" w:hanging="360"/>
      </w:pPr>
      <w:rPr>
        <w:rFonts w:ascii="Corbel" w:hAnsi="Corbel" w:hint="default"/>
      </w:rPr>
    </w:lvl>
    <w:lvl w:ilvl="6" w:tplc="248EC3A2" w:tentative="1">
      <w:start w:val="1"/>
      <w:numFmt w:val="bullet"/>
      <w:lvlText w:val="•"/>
      <w:lvlJc w:val="left"/>
      <w:pPr>
        <w:tabs>
          <w:tab w:val="num" w:pos="5040"/>
        </w:tabs>
        <w:ind w:left="5040" w:hanging="360"/>
      </w:pPr>
      <w:rPr>
        <w:rFonts w:ascii="Corbel" w:hAnsi="Corbel" w:hint="default"/>
      </w:rPr>
    </w:lvl>
    <w:lvl w:ilvl="7" w:tplc="A5BA48AA" w:tentative="1">
      <w:start w:val="1"/>
      <w:numFmt w:val="bullet"/>
      <w:lvlText w:val="•"/>
      <w:lvlJc w:val="left"/>
      <w:pPr>
        <w:tabs>
          <w:tab w:val="num" w:pos="5760"/>
        </w:tabs>
        <w:ind w:left="5760" w:hanging="360"/>
      </w:pPr>
      <w:rPr>
        <w:rFonts w:ascii="Corbel" w:hAnsi="Corbel" w:hint="default"/>
      </w:rPr>
    </w:lvl>
    <w:lvl w:ilvl="8" w:tplc="089A3E3C" w:tentative="1">
      <w:start w:val="1"/>
      <w:numFmt w:val="bullet"/>
      <w:lvlText w:val="•"/>
      <w:lvlJc w:val="left"/>
      <w:pPr>
        <w:tabs>
          <w:tab w:val="num" w:pos="6480"/>
        </w:tabs>
        <w:ind w:left="6480" w:hanging="360"/>
      </w:pPr>
      <w:rPr>
        <w:rFonts w:ascii="Corbel" w:hAnsi="Corbel" w:hint="default"/>
      </w:rPr>
    </w:lvl>
  </w:abstractNum>
  <w:abstractNum w:abstractNumId="6" w15:restartNumberingAfterBreak="0">
    <w:nsid w:val="2B6D349E"/>
    <w:multiLevelType w:val="hybridMultilevel"/>
    <w:tmpl w:val="89B6934E"/>
    <w:lvl w:ilvl="0" w:tplc="AD229E88">
      <w:start w:val="1"/>
      <w:numFmt w:val="bullet"/>
      <w:lvlText w:val="o"/>
      <w:lvlJc w:val="left"/>
      <w:pPr>
        <w:tabs>
          <w:tab w:val="num" w:pos="720"/>
        </w:tabs>
        <w:ind w:left="720" w:hanging="360"/>
      </w:pPr>
      <w:rPr>
        <w:rFonts w:ascii="Courier New" w:hAnsi="Courier New" w:hint="default"/>
      </w:rPr>
    </w:lvl>
    <w:lvl w:ilvl="1" w:tplc="6E1491C4" w:tentative="1">
      <w:start w:val="1"/>
      <w:numFmt w:val="bullet"/>
      <w:lvlText w:val="o"/>
      <w:lvlJc w:val="left"/>
      <w:pPr>
        <w:tabs>
          <w:tab w:val="num" w:pos="1440"/>
        </w:tabs>
        <w:ind w:left="1440" w:hanging="360"/>
      </w:pPr>
      <w:rPr>
        <w:rFonts w:ascii="Courier New" w:hAnsi="Courier New" w:hint="default"/>
      </w:rPr>
    </w:lvl>
    <w:lvl w:ilvl="2" w:tplc="B0FC4022" w:tentative="1">
      <w:start w:val="1"/>
      <w:numFmt w:val="bullet"/>
      <w:lvlText w:val="o"/>
      <w:lvlJc w:val="left"/>
      <w:pPr>
        <w:tabs>
          <w:tab w:val="num" w:pos="2160"/>
        </w:tabs>
        <w:ind w:left="2160" w:hanging="360"/>
      </w:pPr>
      <w:rPr>
        <w:rFonts w:ascii="Courier New" w:hAnsi="Courier New" w:hint="default"/>
      </w:rPr>
    </w:lvl>
    <w:lvl w:ilvl="3" w:tplc="EDB49B1C" w:tentative="1">
      <w:start w:val="1"/>
      <w:numFmt w:val="bullet"/>
      <w:lvlText w:val="o"/>
      <w:lvlJc w:val="left"/>
      <w:pPr>
        <w:tabs>
          <w:tab w:val="num" w:pos="2880"/>
        </w:tabs>
        <w:ind w:left="2880" w:hanging="360"/>
      </w:pPr>
      <w:rPr>
        <w:rFonts w:ascii="Courier New" w:hAnsi="Courier New" w:hint="default"/>
      </w:rPr>
    </w:lvl>
    <w:lvl w:ilvl="4" w:tplc="FDCC3792" w:tentative="1">
      <w:start w:val="1"/>
      <w:numFmt w:val="bullet"/>
      <w:lvlText w:val="o"/>
      <w:lvlJc w:val="left"/>
      <w:pPr>
        <w:tabs>
          <w:tab w:val="num" w:pos="3600"/>
        </w:tabs>
        <w:ind w:left="3600" w:hanging="360"/>
      </w:pPr>
      <w:rPr>
        <w:rFonts w:ascii="Courier New" w:hAnsi="Courier New" w:hint="default"/>
      </w:rPr>
    </w:lvl>
    <w:lvl w:ilvl="5" w:tplc="61347AC8" w:tentative="1">
      <w:start w:val="1"/>
      <w:numFmt w:val="bullet"/>
      <w:lvlText w:val="o"/>
      <w:lvlJc w:val="left"/>
      <w:pPr>
        <w:tabs>
          <w:tab w:val="num" w:pos="4320"/>
        </w:tabs>
        <w:ind w:left="4320" w:hanging="360"/>
      </w:pPr>
      <w:rPr>
        <w:rFonts w:ascii="Courier New" w:hAnsi="Courier New" w:hint="default"/>
      </w:rPr>
    </w:lvl>
    <w:lvl w:ilvl="6" w:tplc="B45CDED6" w:tentative="1">
      <w:start w:val="1"/>
      <w:numFmt w:val="bullet"/>
      <w:lvlText w:val="o"/>
      <w:lvlJc w:val="left"/>
      <w:pPr>
        <w:tabs>
          <w:tab w:val="num" w:pos="5040"/>
        </w:tabs>
        <w:ind w:left="5040" w:hanging="360"/>
      </w:pPr>
      <w:rPr>
        <w:rFonts w:ascii="Courier New" w:hAnsi="Courier New" w:hint="default"/>
      </w:rPr>
    </w:lvl>
    <w:lvl w:ilvl="7" w:tplc="321A8628" w:tentative="1">
      <w:start w:val="1"/>
      <w:numFmt w:val="bullet"/>
      <w:lvlText w:val="o"/>
      <w:lvlJc w:val="left"/>
      <w:pPr>
        <w:tabs>
          <w:tab w:val="num" w:pos="5760"/>
        </w:tabs>
        <w:ind w:left="5760" w:hanging="360"/>
      </w:pPr>
      <w:rPr>
        <w:rFonts w:ascii="Courier New" w:hAnsi="Courier New" w:hint="default"/>
      </w:rPr>
    </w:lvl>
    <w:lvl w:ilvl="8" w:tplc="39FABB6C"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36B45547"/>
    <w:multiLevelType w:val="hybridMultilevel"/>
    <w:tmpl w:val="B382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8B629A"/>
    <w:multiLevelType w:val="hybridMultilevel"/>
    <w:tmpl w:val="B52A8AC4"/>
    <w:lvl w:ilvl="0" w:tplc="F1A8591C">
      <w:start w:val="1"/>
      <w:numFmt w:val="bullet"/>
      <w:lvlText w:val="•"/>
      <w:lvlJc w:val="left"/>
      <w:pPr>
        <w:tabs>
          <w:tab w:val="num" w:pos="720"/>
        </w:tabs>
        <w:ind w:left="720" w:hanging="360"/>
      </w:pPr>
      <w:rPr>
        <w:rFonts w:ascii="Corbel" w:hAnsi="Corbel" w:hint="default"/>
      </w:rPr>
    </w:lvl>
    <w:lvl w:ilvl="1" w:tplc="EB689E12">
      <w:start w:val="302"/>
      <w:numFmt w:val="bullet"/>
      <w:lvlText w:val="•"/>
      <w:lvlJc w:val="left"/>
      <w:pPr>
        <w:tabs>
          <w:tab w:val="num" w:pos="1440"/>
        </w:tabs>
        <w:ind w:left="1440" w:hanging="360"/>
      </w:pPr>
      <w:rPr>
        <w:rFonts w:ascii="Corbel" w:hAnsi="Corbel" w:hint="default"/>
      </w:rPr>
    </w:lvl>
    <w:lvl w:ilvl="2" w:tplc="9CD412DE" w:tentative="1">
      <w:start w:val="1"/>
      <w:numFmt w:val="bullet"/>
      <w:lvlText w:val="•"/>
      <w:lvlJc w:val="left"/>
      <w:pPr>
        <w:tabs>
          <w:tab w:val="num" w:pos="2160"/>
        </w:tabs>
        <w:ind w:left="2160" w:hanging="360"/>
      </w:pPr>
      <w:rPr>
        <w:rFonts w:ascii="Corbel" w:hAnsi="Corbel" w:hint="default"/>
      </w:rPr>
    </w:lvl>
    <w:lvl w:ilvl="3" w:tplc="4BEC2F9C" w:tentative="1">
      <w:start w:val="1"/>
      <w:numFmt w:val="bullet"/>
      <w:lvlText w:val="•"/>
      <w:lvlJc w:val="left"/>
      <w:pPr>
        <w:tabs>
          <w:tab w:val="num" w:pos="2880"/>
        </w:tabs>
        <w:ind w:left="2880" w:hanging="360"/>
      </w:pPr>
      <w:rPr>
        <w:rFonts w:ascii="Corbel" w:hAnsi="Corbel" w:hint="default"/>
      </w:rPr>
    </w:lvl>
    <w:lvl w:ilvl="4" w:tplc="F34C5E7C" w:tentative="1">
      <w:start w:val="1"/>
      <w:numFmt w:val="bullet"/>
      <w:lvlText w:val="•"/>
      <w:lvlJc w:val="left"/>
      <w:pPr>
        <w:tabs>
          <w:tab w:val="num" w:pos="3600"/>
        </w:tabs>
        <w:ind w:left="3600" w:hanging="360"/>
      </w:pPr>
      <w:rPr>
        <w:rFonts w:ascii="Corbel" w:hAnsi="Corbel" w:hint="default"/>
      </w:rPr>
    </w:lvl>
    <w:lvl w:ilvl="5" w:tplc="13063746" w:tentative="1">
      <w:start w:val="1"/>
      <w:numFmt w:val="bullet"/>
      <w:lvlText w:val="•"/>
      <w:lvlJc w:val="left"/>
      <w:pPr>
        <w:tabs>
          <w:tab w:val="num" w:pos="4320"/>
        </w:tabs>
        <w:ind w:left="4320" w:hanging="360"/>
      </w:pPr>
      <w:rPr>
        <w:rFonts w:ascii="Corbel" w:hAnsi="Corbel" w:hint="default"/>
      </w:rPr>
    </w:lvl>
    <w:lvl w:ilvl="6" w:tplc="FD5A0C40" w:tentative="1">
      <w:start w:val="1"/>
      <w:numFmt w:val="bullet"/>
      <w:lvlText w:val="•"/>
      <w:lvlJc w:val="left"/>
      <w:pPr>
        <w:tabs>
          <w:tab w:val="num" w:pos="5040"/>
        </w:tabs>
        <w:ind w:left="5040" w:hanging="360"/>
      </w:pPr>
      <w:rPr>
        <w:rFonts w:ascii="Corbel" w:hAnsi="Corbel" w:hint="default"/>
      </w:rPr>
    </w:lvl>
    <w:lvl w:ilvl="7" w:tplc="64244A60" w:tentative="1">
      <w:start w:val="1"/>
      <w:numFmt w:val="bullet"/>
      <w:lvlText w:val="•"/>
      <w:lvlJc w:val="left"/>
      <w:pPr>
        <w:tabs>
          <w:tab w:val="num" w:pos="5760"/>
        </w:tabs>
        <w:ind w:left="5760" w:hanging="360"/>
      </w:pPr>
      <w:rPr>
        <w:rFonts w:ascii="Corbel" w:hAnsi="Corbel" w:hint="default"/>
      </w:rPr>
    </w:lvl>
    <w:lvl w:ilvl="8" w:tplc="9D3C83C4" w:tentative="1">
      <w:start w:val="1"/>
      <w:numFmt w:val="bullet"/>
      <w:lvlText w:val="•"/>
      <w:lvlJc w:val="left"/>
      <w:pPr>
        <w:tabs>
          <w:tab w:val="num" w:pos="6480"/>
        </w:tabs>
        <w:ind w:left="6480" w:hanging="360"/>
      </w:pPr>
      <w:rPr>
        <w:rFonts w:ascii="Corbel" w:hAnsi="Corbel" w:hint="default"/>
      </w:rPr>
    </w:lvl>
  </w:abstractNum>
  <w:abstractNum w:abstractNumId="9" w15:restartNumberingAfterBreak="0">
    <w:nsid w:val="4C120DF2"/>
    <w:multiLevelType w:val="hybridMultilevel"/>
    <w:tmpl w:val="75E8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646216"/>
    <w:multiLevelType w:val="hybridMultilevel"/>
    <w:tmpl w:val="7BACF5FC"/>
    <w:lvl w:ilvl="0" w:tplc="6F9079CE">
      <w:start w:val="1"/>
      <w:numFmt w:val="bullet"/>
      <w:lvlText w:val="•"/>
      <w:lvlJc w:val="left"/>
      <w:pPr>
        <w:tabs>
          <w:tab w:val="num" w:pos="720"/>
        </w:tabs>
        <w:ind w:left="720" w:hanging="360"/>
      </w:pPr>
      <w:rPr>
        <w:rFonts w:ascii="Corbel" w:hAnsi="Corbel" w:hint="default"/>
      </w:rPr>
    </w:lvl>
    <w:lvl w:ilvl="1" w:tplc="57CA4F52" w:tentative="1">
      <w:start w:val="1"/>
      <w:numFmt w:val="bullet"/>
      <w:lvlText w:val="•"/>
      <w:lvlJc w:val="left"/>
      <w:pPr>
        <w:tabs>
          <w:tab w:val="num" w:pos="1440"/>
        </w:tabs>
        <w:ind w:left="1440" w:hanging="360"/>
      </w:pPr>
      <w:rPr>
        <w:rFonts w:ascii="Corbel" w:hAnsi="Corbel" w:hint="default"/>
      </w:rPr>
    </w:lvl>
    <w:lvl w:ilvl="2" w:tplc="79285CBE" w:tentative="1">
      <w:start w:val="1"/>
      <w:numFmt w:val="bullet"/>
      <w:lvlText w:val="•"/>
      <w:lvlJc w:val="left"/>
      <w:pPr>
        <w:tabs>
          <w:tab w:val="num" w:pos="2160"/>
        </w:tabs>
        <w:ind w:left="2160" w:hanging="360"/>
      </w:pPr>
      <w:rPr>
        <w:rFonts w:ascii="Corbel" w:hAnsi="Corbel" w:hint="default"/>
      </w:rPr>
    </w:lvl>
    <w:lvl w:ilvl="3" w:tplc="539AB4A0" w:tentative="1">
      <w:start w:val="1"/>
      <w:numFmt w:val="bullet"/>
      <w:lvlText w:val="•"/>
      <w:lvlJc w:val="left"/>
      <w:pPr>
        <w:tabs>
          <w:tab w:val="num" w:pos="2880"/>
        </w:tabs>
        <w:ind w:left="2880" w:hanging="360"/>
      </w:pPr>
      <w:rPr>
        <w:rFonts w:ascii="Corbel" w:hAnsi="Corbel" w:hint="default"/>
      </w:rPr>
    </w:lvl>
    <w:lvl w:ilvl="4" w:tplc="071AED0E" w:tentative="1">
      <w:start w:val="1"/>
      <w:numFmt w:val="bullet"/>
      <w:lvlText w:val="•"/>
      <w:lvlJc w:val="left"/>
      <w:pPr>
        <w:tabs>
          <w:tab w:val="num" w:pos="3600"/>
        </w:tabs>
        <w:ind w:left="3600" w:hanging="360"/>
      </w:pPr>
      <w:rPr>
        <w:rFonts w:ascii="Corbel" w:hAnsi="Corbel" w:hint="default"/>
      </w:rPr>
    </w:lvl>
    <w:lvl w:ilvl="5" w:tplc="D1043AE6" w:tentative="1">
      <w:start w:val="1"/>
      <w:numFmt w:val="bullet"/>
      <w:lvlText w:val="•"/>
      <w:lvlJc w:val="left"/>
      <w:pPr>
        <w:tabs>
          <w:tab w:val="num" w:pos="4320"/>
        </w:tabs>
        <w:ind w:left="4320" w:hanging="360"/>
      </w:pPr>
      <w:rPr>
        <w:rFonts w:ascii="Corbel" w:hAnsi="Corbel" w:hint="default"/>
      </w:rPr>
    </w:lvl>
    <w:lvl w:ilvl="6" w:tplc="E55447F6" w:tentative="1">
      <w:start w:val="1"/>
      <w:numFmt w:val="bullet"/>
      <w:lvlText w:val="•"/>
      <w:lvlJc w:val="left"/>
      <w:pPr>
        <w:tabs>
          <w:tab w:val="num" w:pos="5040"/>
        </w:tabs>
        <w:ind w:left="5040" w:hanging="360"/>
      </w:pPr>
      <w:rPr>
        <w:rFonts w:ascii="Corbel" w:hAnsi="Corbel" w:hint="default"/>
      </w:rPr>
    </w:lvl>
    <w:lvl w:ilvl="7" w:tplc="1D128F0E" w:tentative="1">
      <w:start w:val="1"/>
      <w:numFmt w:val="bullet"/>
      <w:lvlText w:val="•"/>
      <w:lvlJc w:val="left"/>
      <w:pPr>
        <w:tabs>
          <w:tab w:val="num" w:pos="5760"/>
        </w:tabs>
        <w:ind w:left="5760" w:hanging="360"/>
      </w:pPr>
      <w:rPr>
        <w:rFonts w:ascii="Corbel" w:hAnsi="Corbel" w:hint="default"/>
      </w:rPr>
    </w:lvl>
    <w:lvl w:ilvl="8" w:tplc="7F9CF20E" w:tentative="1">
      <w:start w:val="1"/>
      <w:numFmt w:val="bullet"/>
      <w:lvlText w:val="•"/>
      <w:lvlJc w:val="left"/>
      <w:pPr>
        <w:tabs>
          <w:tab w:val="num" w:pos="6480"/>
        </w:tabs>
        <w:ind w:left="6480" w:hanging="360"/>
      </w:pPr>
      <w:rPr>
        <w:rFonts w:ascii="Corbel" w:hAnsi="Corbel" w:hint="default"/>
      </w:rPr>
    </w:lvl>
  </w:abstractNum>
  <w:abstractNum w:abstractNumId="11" w15:restartNumberingAfterBreak="0">
    <w:nsid w:val="711D28B0"/>
    <w:multiLevelType w:val="hybridMultilevel"/>
    <w:tmpl w:val="683A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C10B7"/>
    <w:multiLevelType w:val="hybridMultilevel"/>
    <w:tmpl w:val="DC72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5B6A70"/>
    <w:multiLevelType w:val="hybridMultilevel"/>
    <w:tmpl w:val="2FB48486"/>
    <w:lvl w:ilvl="0" w:tplc="BF5CD8FC">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8"/>
  </w:num>
  <w:num w:numId="5">
    <w:abstractNumId w:val="10"/>
  </w:num>
  <w:num w:numId="6">
    <w:abstractNumId w:val="11"/>
  </w:num>
  <w:num w:numId="7">
    <w:abstractNumId w:val="7"/>
  </w:num>
  <w:num w:numId="8">
    <w:abstractNumId w:val="4"/>
  </w:num>
  <w:num w:numId="9">
    <w:abstractNumId w:val="12"/>
  </w:num>
  <w:num w:numId="10">
    <w:abstractNumId w:val="9"/>
  </w:num>
  <w:num w:numId="11">
    <w:abstractNumId w:val="13"/>
  </w:num>
  <w:num w:numId="12">
    <w:abstractNumId w:val="13"/>
    <w:lvlOverride w:ilvl="0">
      <w:startOverride w:val="1"/>
    </w:lvlOverride>
  </w:num>
  <w:num w:numId="13">
    <w:abstractNumId w:val="3"/>
  </w:num>
  <w:num w:numId="14">
    <w:abstractNumId w:val="0"/>
  </w:num>
  <w:num w:numId="15">
    <w:abstractNumId w:val="13"/>
    <w:lvlOverride w:ilvl="0">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98A"/>
    <w:rsid w:val="00006D1A"/>
    <w:rsid w:val="000104CB"/>
    <w:rsid w:val="0001307E"/>
    <w:rsid w:val="000177D4"/>
    <w:rsid w:val="0002440C"/>
    <w:rsid w:val="000267F0"/>
    <w:rsid w:val="000278FE"/>
    <w:rsid w:val="0003577D"/>
    <w:rsid w:val="00036865"/>
    <w:rsid w:val="0004191F"/>
    <w:rsid w:val="00045CA6"/>
    <w:rsid w:val="0004762C"/>
    <w:rsid w:val="00056388"/>
    <w:rsid w:val="00061D38"/>
    <w:rsid w:val="00065DA2"/>
    <w:rsid w:val="00073806"/>
    <w:rsid w:val="00073A3B"/>
    <w:rsid w:val="00093FF4"/>
    <w:rsid w:val="000A3206"/>
    <w:rsid w:val="000B0933"/>
    <w:rsid w:val="000B1DD3"/>
    <w:rsid w:val="000B3578"/>
    <w:rsid w:val="000B3BCD"/>
    <w:rsid w:val="000B45BA"/>
    <w:rsid w:val="000B54BC"/>
    <w:rsid w:val="000B595F"/>
    <w:rsid w:val="000B5A73"/>
    <w:rsid w:val="000B63DC"/>
    <w:rsid w:val="000B776A"/>
    <w:rsid w:val="000B78DA"/>
    <w:rsid w:val="000C1A91"/>
    <w:rsid w:val="000C3A9D"/>
    <w:rsid w:val="000C4403"/>
    <w:rsid w:val="000C4B37"/>
    <w:rsid w:val="000C4BA1"/>
    <w:rsid w:val="000C62C7"/>
    <w:rsid w:val="000D2D70"/>
    <w:rsid w:val="000D405C"/>
    <w:rsid w:val="000D74D4"/>
    <w:rsid w:val="000D76C9"/>
    <w:rsid w:val="000D7E01"/>
    <w:rsid w:val="000F14E8"/>
    <w:rsid w:val="000F45FD"/>
    <w:rsid w:val="000F717C"/>
    <w:rsid w:val="0010103F"/>
    <w:rsid w:val="0010205C"/>
    <w:rsid w:val="001128BA"/>
    <w:rsid w:val="00121B40"/>
    <w:rsid w:val="0012228E"/>
    <w:rsid w:val="00130525"/>
    <w:rsid w:val="00131D81"/>
    <w:rsid w:val="00135957"/>
    <w:rsid w:val="001416E7"/>
    <w:rsid w:val="00147911"/>
    <w:rsid w:val="00153B87"/>
    <w:rsid w:val="001566AC"/>
    <w:rsid w:val="00161838"/>
    <w:rsid w:val="00164F4E"/>
    <w:rsid w:val="00172818"/>
    <w:rsid w:val="00187E20"/>
    <w:rsid w:val="00192B20"/>
    <w:rsid w:val="00193F45"/>
    <w:rsid w:val="00194D54"/>
    <w:rsid w:val="001A32D3"/>
    <w:rsid w:val="001A4759"/>
    <w:rsid w:val="001A528B"/>
    <w:rsid w:val="001B1E23"/>
    <w:rsid w:val="001B5EDD"/>
    <w:rsid w:val="001B72D6"/>
    <w:rsid w:val="001C1720"/>
    <w:rsid w:val="001C30C0"/>
    <w:rsid w:val="001C3A60"/>
    <w:rsid w:val="001C3C62"/>
    <w:rsid w:val="001C63FB"/>
    <w:rsid w:val="001C7245"/>
    <w:rsid w:val="001D119A"/>
    <w:rsid w:val="001D1F90"/>
    <w:rsid w:val="001E0A4A"/>
    <w:rsid w:val="001E13C5"/>
    <w:rsid w:val="001E2C73"/>
    <w:rsid w:val="001E382C"/>
    <w:rsid w:val="001E4819"/>
    <w:rsid w:val="001E7521"/>
    <w:rsid w:val="001F7541"/>
    <w:rsid w:val="0020084F"/>
    <w:rsid w:val="002052DE"/>
    <w:rsid w:val="00206519"/>
    <w:rsid w:val="002067FE"/>
    <w:rsid w:val="002102A0"/>
    <w:rsid w:val="00212D7D"/>
    <w:rsid w:val="00215F69"/>
    <w:rsid w:val="002160C0"/>
    <w:rsid w:val="00220CBA"/>
    <w:rsid w:val="002228F1"/>
    <w:rsid w:val="00223267"/>
    <w:rsid w:val="002234B5"/>
    <w:rsid w:val="002262C9"/>
    <w:rsid w:val="002300C8"/>
    <w:rsid w:val="00237CB8"/>
    <w:rsid w:val="00240A8D"/>
    <w:rsid w:val="00244453"/>
    <w:rsid w:val="002454BC"/>
    <w:rsid w:val="00247366"/>
    <w:rsid w:val="00247EEF"/>
    <w:rsid w:val="002501F1"/>
    <w:rsid w:val="00251C15"/>
    <w:rsid w:val="00251DA3"/>
    <w:rsid w:val="002535E8"/>
    <w:rsid w:val="002548FD"/>
    <w:rsid w:val="002602E7"/>
    <w:rsid w:val="00263EBC"/>
    <w:rsid w:val="00265DFF"/>
    <w:rsid w:val="002703AE"/>
    <w:rsid w:val="00272D99"/>
    <w:rsid w:val="00275ACA"/>
    <w:rsid w:val="00277B3C"/>
    <w:rsid w:val="0028069F"/>
    <w:rsid w:val="00284545"/>
    <w:rsid w:val="0029020D"/>
    <w:rsid w:val="00295EAE"/>
    <w:rsid w:val="002A38C7"/>
    <w:rsid w:val="002A3DB7"/>
    <w:rsid w:val="002A7B05"/>
    <w:rsid w:val="002B4D3F"/>
    <w:rsid w:val="002C1F65"/>
    <w:rsid w:val="002C5449"/>
    <w:rsid w:val="002D0C63"/>
    <w:rsid w:val="002E06CC"/>
    <w:rsid w:val="002E06D7"/>
    <w:rsid w:val="002E13D6"/>
    <w:rsid w:val="002E24C0"/>
    <w:rsid w:val="002E78A8"/>
    <w:rsid w:val="002F1D27"/>
    <w:rsid w:val="002F5F0A"/>
    <w:rsid w:val="002F6210"/>
    <w:rsid w:val="00300462"/>
    <w:rsid w:val="003015CB"/>
    <w:rsid w:val="00303803"/>
    <w:rsid w:val="0030495C"/>
    <w:rsid w:val="00311A5A"/>
    <w:rsid w:val="00317A49"/>
    <w:rsid w:val="003200F2"/>
    <w:rsid w:val="0032386B"/>
    <w:rsid w:val="00325B3E"/>
    <w:rsid w:val="00326486"/>
    <w:rsid w:val="003300D6"/>
    <w:rsid w:val="00331DF6"/>
    <w:rsid w:val="00332DD0"/>
    <w:rsid w:val="003364FA"/>
    <w:rsid w:val="0033756D"/>
    <w:rsid w:val="0034013A"/>
    <w:rsid w:val="0034140F"/>
    <w:rsid w:val="00346C67"/>
    <w:rsid w:val="0035275C"/>
    <w:rsid w:val="00354D89"/>
    <w:rsid w:val="0035550F"/>
    <w:rsid w:val="00356AA5"/>
    <w:rsid w:val="00356AD4"/>
    <w:rsid w:val="0036534E"/>
    <w:rsid w:val="003654BD"/>
    <w:rsid w:val="003655D4"/>
    <w:rsid w:val="00365E68"/>
    <w:rsid w:val="00376335"/>
    <w:rsid w:val="00390BE2"/>
    <w:rsid w:val="00391139"/>
    <w:rsid w:val="00391910"/>
    <w:rsid w:val="00391C68"/>
    <w:rsid w:val="003958E3"/>
    <w:rsid w:val="003B44C2"/>
    <w:rsid w:val="003B5419"/>
    <w:rsid w:val="003B6D60"/>
    <w:rsid w:val="003B7BC0"/>
    <w:rsid w:val="003C28C3"/>
    <w:rsid w:val="003C3F3C"/>
    <w:rsid w:val="003C4FFB"/>
    <w:rsid w:val="003D08E0"/>
    <w:rsid w:val="003D5296"/>
    <w:rsid w:val="003D7943"/>
    <w:rsid w:val="003E75C7"/>
    <w:rsid w:val="003E7DF3"/>
    <w:rsid w:val="003E7E6A"/>
    <w:rsid w:val="003F04B9"/>
    <w:rsid w:val="003F199F"/>
    <w:rsid w:val="004025E4"/>
    <w:rsid w:val="00402DAC"/>
    <w:rsid w:val="00406323"/>
    <w:rsid w:val="004100EC"/>
    <w:rsid w:val="00410778"/>
    <w:rsid w:val="00410989"/>
    <w:rsid w:val="00417D8D"/>
    <w:rsid w:val="00425385"/>
    <w:rsid w:val="00426DD5"/>
    <w:rsid w:val="00427A02"/>
    <w:rsid w:val="00442AF9"/>
    <w:rsid w:val="00455BB1"/>
    <w:rsid w:val="00461074"/>
    <w:rsid w:val="00461B20"/>
    <w:rsid w:val="00465C2B"/>
    <w:rsid w:val="004669C7"/>
    <w:rsid w:val="00467B46"/>
    <w:rsid w:val="00471A49"/>
    <w:rsid w:val="004729B1"/>
    <w:rsid w:val="00481630"/>
    <w:rsid w:val="00481DEF"/>
    <w:rsid w:val="0048314E"/>
    <w:rsid w:val="0048326F"/>
    <w:rsid w:val="00490423"/>
    <w:rsid w:val="00492C25"/>
    <w:rsid w:val="004A0262"/>
    <w:rsid w:val="004A14F3"/>
    <w:rsid w:val="004B0441"/>
    <w:rsid w:val="004B10A5"/>
    <w:rsid w:val="004B5233"/>
    <w:rsid w:val="004B6A09"/>
    <w:rsid w:val="004B7262"/>
    <w:rsid w:val="004B7560"/>
    <w:rsid w:val="004C05C6"/>
    <w:rsid w:val="004C20C7"/>
    <w:rsid w:val="004C38F1"/>
    <w:rsid w:val="004C3A40"/>
    <w:rsid w:val="004C4CC1"/>
    <w:rsid w:val="004C6FC5"/>
    <w:rsid w:val="004D7918"/>
    <w:rsid w:val="004F4426"/>
    <w:rsid w:val="004F6688"/>
    <w:rsid w:val="004F6DAC"/>
    <w:rsid w:val="00504653"/>
    <w:rsid w:val="00506864"/>
    <w:rsid w:val="0051164A"/>
    <w:rsid w:val="005138DF"/>
    <w:rsid w:val="00521EC9"/>
    <w:rsid w:val="00522A37"/>
    <w:rsid w:val="005238D4"/>
    <w:rsid w:val="00525FDB"/>
    <w:rsid w:val="00534316"/>
    <w:rsid w:val="005344C8"/>
    <w:rsid w:val="0053494D"/>
    <w:rsid w:val="00542794"/>
    <w:rsid w:val="00542B91"/>
    <w:rsid w:val="00544740"/>
    <w:rsid w:val="0054561A"/>
    <w:rsid w:val="005460E7"/>
    <w:rsid w:val="00554D24"/>
    <w:rsid w:val="00556D25"/>
    <w:rsid w:val="0056197E"/>
    <w:rsid w:val="0056342F"/>
    <w:rsid w:val="00571CC3"/>
    <w:rsid w:val="005721B2"/>
    <w:rsid w:val="00577556"/>
    <w:rsid w:val="00577D6D"/>
    <w:rsid w:val="00577F88"/>
    <w:rsid w:val="00582BE4"/>
    <w:rsid w:val="00584880"/>
    <w:rsid w:val="0058689C"/>
    <w:rsid w:val="00595365"/>
    <w:rsid w:val="00596443"/>
    <w:rsid w:val="0059670E"/>
    <w:rsid w:val="00596AD7"/>
    <w:rsid w:val="00597433"/>
    <w:rsid w:val="005A26D7"/>
    <w:rsid w:val="005A3432"/>
    <w:rsid w:val="005B37C0"/>
    <w:rsid w:val="005B6674"/>
    <w:rsid w:val="005B6F67"/>
    <w:rsid w:val="005C0AC1"/>
    <w:rsid w:val="005C467C"/>
    <w:rsid w:val="005D06D8"/>
    <w:rsid w:val="005D1278"/>
    <w:rsid w:val="005D525D"/>
    <w:rsid w:val="005E0F68"/>
    <w:rsid w:val="005E451D"/>
    <w:rsid w:val="005F0105"/>
    <w:rsid w:val="005F2765"/>
    <w:rsid w:val="005F53BE"/>
    <w:rsid w:val="005F669D"/>
    <w:rsid w:val="00604DCB"/>
    <w:rsid w:val="00610310"/>
    <w:rsid w:val="006104AA"/>
    <w:rsid w:val="00611CDC"/>
    <w:rsid w:val="0061349A"/>
    <w:rsid w:val="00615C3E"/>
    <w:rsid w:val="006212C4"/>
    <w:rsid w:val="00621C71"/>
    <w:rsid w:val="00624A5A"/>
    <w:rsid w:val="00626517"/>
    <w:rsid w:val="006313A5"/>
    <w:rsid w:val="006341D1"/>
    <w:rsid w:val="0063498A"/>
    <w:rsid w:val="00642E9D"/>
    <w:rsid w:val="006436C1"/>
    <w:rsid w:val="00646F74"/>
    <w:rsid w:val="00647C8A"/>
    <w:rsid w:val="00650B22"/>
    <w:rsid w:val="00655F6F"/>
    <w:rsid w:val="006604A3"/>
    <w:rsid w:val="00660618"/>
    <w:rsid w:val="006637CF"/>
    <w:rsid w:val="006642F6"/>
    <w:rsid w:val="00665690"/>
    <w:rsid w:val="00666FE5"/>
    <w:rsid w:val="00671B2F"/>
    <w:rsid w:val="00672BF1"/>
    <w:rsid w:val="00673350"/>
    <w:rsid w:val="006739B3"/>
    <w:rsid w:val="006803B5"/>
    <w:rsid w:val="00680B44"/>
    <w:rsid w:val="0068332F"/>
    <w:rsid w:val="006941E4"/>
    <w:rsid w:val="00696C6A"/>
    <w:rsid w:val="006B2E92"/>
    <w:rsid w:val="006B30C1"/>
    <w:rsid w:val="006B6728"/>
    <w:rsid w:val="006C0F42"/>
    <w:rsid w:val="006C37C4"/>
    <w:rsid w:val="006C6476"/>
    <w:rsid w:val="006C6C0C"/>
    <w:rsid w:val="006C6CE3"/>
    <w:rsid w:val="006D098B"/>
    <w:rsid w:val="006D68D5"/>
    <w:rsid w:val="006D7428"/>
    <w:rsid w:val="006E20A7"/>
    <w:rsid w:val="006E72A6"/>
    <w:rsid w:val="006F5713"/>
    <w:rsid w:val="00700D53"/>
    <w:rsid w:val="00700FB8"/>
    <w:rsid w:val="007017FC"/>
    <w:rsid w:val="00705D22"/>
    <w:rsid w:val="007061A9"/>
    <w:rsid w:val="00706665"/>
    <w:rsid w:val="0071080A"/>
    <w:rsid w:val="0071094A"/>
    <w:rsid w:val="0071286C"/>
    <w:rsid w:val="0071436C"/>
    <w:rsid w:val="007203EE"/>
    <w:rsid w:val="00721F1A"/>
    <w:rsid w:val="00722AB2"/>
    <w:rsid w:val="00723AB9"/>
    <w:rsid w:val="00725E3B"/>
    <w:rsid w:val="007304E3"/>
    <w:rsid w:val="00732997"/>
    <w:rsid w:val="00743CDC"/>
    <w:rsid w:val="00744E0A"/>
    <w:rsid w:val="00745FEF"/>
    <w:rsid w:val="00747B18"/>
    <w:rsid w:val="00756296"/>
    <w:rsid w:val="007623A9"/>
    <w:rsid w:val="0076331C"/>
    <w:rsid w:val="00775275"/>
    <w:rsid w:val="00775903"/>
    <w:rsid w:val="007813AD"/>
    <w:rsid w:val="00794026"/>
    <w:rsid w:val="00794731"/>
    <w:rsid w:val="007A0924"/>
    <w:rsid w:val="007A3A48"/>
    <w:rsid w:val="007B01EC"/>
    <w:rsid w:val="007B3967"/>
    <w:rsid w:val="007B68BB"/>
    <w:rsid w:val="007B6EE5"/>
    <w:rsid w:val="007C042D"/>
    <w:rsid w:val="007C389A"/>
    <w:rsid w:val="007C43F6"/>
    <w:rsid w:val="007D2E1D"/>
    <w:rsid w:val="007E5367"/>
    <w:rsid w:val="007E6D3B"/>
    <w:rsid w:val="007F24D9"/>
    <w:rsid w:val="007F41AC"/>
    <w:rsid w:val="007F49A0"/>
    <w:rsid w:val="00802C0D"/>
    <w:rsid w:val="0080363B"/>
    <w:rsid w:val="00804D06"/>
    <w:rsid w:val="008054BC"/>
    <w:rsid w:val="00806FC8"/>
    <w:rsid w:val="008138FD"/>
    <w:rsid w:val="00814B37"/>
    <w:rsid w:val="00821519"/>
    <w:rsid w:val="00821CD9"/>
    <w:rsid w:val="00827900"/>
    <w:rsid w:val="0083065F"/>
    <w:rsid w:val="00832674"/>
    <w:rsid w:val="00834772"/>
    <w:rsid w:val="008379C4"/>
    <w:rsid w:val="00840248"/>
    <w:rsid w:val="008432E9"/>
    <w:rsid w:val="00845D36"/>
    <w:rsid w:val="008507CD"/>
    <w:rsid w:val="00857A87"/>
    <w:rsid w:val="00873F8D"/>
    <w:rsid w:val="00883822"/>
    <w:rsid w:val="00893AC1"/>
    <w:rsid w:val="008977FC"/>
    <w:rsid w:val="008A7C9B"/>
    <w:rsid w:val="008B4C16"/>
    <w:rsid w:val="008B7E43"/>
    <w:rsid w:val="008C1ADE"/>
    <w:rsid w:val="008C64CE"/>
    <w:rsid w:val="008D38C7"/>
    <w:rsid w:val="008D65FC"/>
    <w:rsid w:val="008E17EC"/>
    <w:rsid w:val="008E2964"/>
    <w:rsid w:val="008E719C"/>
    <w:rsid w:val="008E7534"/>
    <w:rsid w:val="008E7748"/>
    <w:rsid w:val="008F07FC"/>
    <w:rsid w:val="008F5228"/>
    <w:rsid w:val="00901507"/>
    <w:rsid w:val="00905E8C"/>
    <w:rsid w:val="00906249"/>
    <w:rsid w:val="00907582"/>
    <w:rsid w:val="00914837"/>
    <w:rsid w:val="00916B5D"/>
    <w:rsid w:val="00921ABF"/>
    <w:rsid w:val="00932C23"/>
    <w:rsid w:val="00933A26"/>
    <w:rsid w:val="00937B1E"/>
    <w:rsid w:val="00940119"/>
    <w:rsid w:val="0094119E"/>
    <w:rsid w:val="0096330F"/>
    <w:rsid w:val="00991B8A"/>
    <w:rsid w:val="00992C6D"/>
    <w:rsid w:val="009A3B5C"/>
    <w:rsid w:val="009A43C3"/>
    <w:rsid w:val="009B52EC"/>
    <w:rsid w:val="009B7771"/>
    <w:rsid w:val="009C5473"/>
    <w:rsid w:val="009D0610"/>
    <w:rsid w:val="009D1D76"/>
    <w:rsid w:val="009D5A1F"/>
    <w:rsid w:val="009E780C"/>
    <w:rsid w:val="009F16E1"/>
    <w:rsid w:val="009F4BFF"/>
    <w:rsid w:val="00A00C11"/>
    <w:rsid w:val="00A00E94"/>
    <w:rsid w:val="00A013D2"/>
    <w:rsid w:val="00A03B04"/>
    <w:rsid w:val="00A05B72"/>
    <w:rsid w:val="00A06EE7"/>
    <w:rsid w:val="00A1290D"/>
    <w:rsid w:val="00A131C4"/>
    <w:rsid w:val="00A13B4C"/>
    <w:rsid w:val="00A14972"/>
    <w:rsid w:val="00A17310"/>
    <w:rsid w:val="00A21D55"/>
    <w:rsid w:val="00A27FF8"/>
    <w:rsid w:val="00A31231"/>
    <w:rsid w:val="00A3608F"/>
    <w:rsid w:val="00A416A0"/>
    <w:rsid w:val="00A419C8"/>
    <w:rsid w:val="00A466CD"/>
    <w:rsid w:val="00A5026B"/>
    <w:rsid w:val="00A5475E"/>
    <w:rsid w:val="00A60BC9"/>
    <w:rsid w:val="00A6272A"/>
    <w:rsid w:val="00A632F3"/>
    <w:rsid w:val="00A65F04"/>
    <w:rsid w:val="00A72BEC"/>
    <w:rsid w:val="00A749CF"/>
    <w:rsid w:val="00A8793B"/>
    <w:rsid w:val="00A900E0"/>
    <w:rsid w:val="00AA0D8E"/>
    <w:rsid w:val="00AA5AAC"/>
    <w:rsid w:val="00AA6C32"/>
    <w:rsid w:val="00AB28FB"/>
    <w:rsid w:val="00AB2EB4"/>
    <w:rsid w:val="00AB375B"/>
    <w:rsid w:val="00AB49DA"/>
    <w:rsid w:val="00AC4F0F"/>
    <w:rsid w:val="00AD0AC3"/>
    <w:rsid w:val="00AD30A1"/>
    <w:rsid w:val="00AD3934"/>
    <w:rsid w:val="00AD49D7"/>
    <w:rsid w:val="00AE31A4"/>
    <w:rsid w:val="00AF03E6"/>
    <w:rsid w:val="00AF1135"/>
    <w:rsid w:val="00AF4B3A"/>
    <w:rsid w:val="00AF73BD"/>
    <w:rsid w:val="00AF7439"/>
    <w:rsid w:val="00B00915"/>
    <w:rsid w:val="00B0177B"/>
    <w:rsid w:val="00B115E4"/>
    <w:rsid w:val="00B213E3"/>
    <w:rsid w:val="00B241BE"/>
    <w:rsid w:val="00B24926"/>
    <w:rsid w:val="00B25658"/>
    <w:rsid w:val="00B2620C"/>
    <w:rsid w:val="00B31A53"/>
    <w:rsid w:val="00B33576"/>
    <w:rsid w:val="00B35A30"/>
    <w:rsid w:val="00B400D9"/>
    <w:rsid w:val="00B42E59"/>
    <w:rsid w:val="00B43694"/>
    <w:rsid w:val="00B47D38"/>
    <w:rsid w:val="00B52F6E"/>
    <w:rsid w:val="00B57DD4"/>
    <w:rsid w:val="00B60504"/>
    <w:rsid w:val="00B62793"/>
    <w:rsid w:val="00B639AE"/>
    <w:rsid w:val="00B66675"/>
    <w:rsid w:val="00B7626C"/>
    <w:rsid w:val="00B868CD"/>
    <w:rsid w:val="00B952B2"/>
    <w:rsid w:val="00B974DD"/>
    <w:rsid w:val="00BA770D"/>
    <w:rsid w:val="00BA77F8"/>
    <w:rsid w:val="00BB13F9"/>
    <w:rsid w:val="00BB487D"/>
    <w:rsid w:val="00BB6DF2"/>
    <w:rsid w:val="00BC4BA5"/>
    <w:rsid w:val="00BC66B5"/>
    <w:rsid w:val="00BC7944"/>
    <w:rsid w:val="00BD0165"/>
    <w:rsid w:val="00BD05D8"/>
    <w:rsid w:val="00BD28F4"/>
    <w:rsid w:val="00BE001C"/>
    <w:rsid w:val="00BE0D10"/>
    <w:rsid w:val="00BE4B13"/>
    <w:rsid w:val="00BE52DD"/>
    <w:rsid w:val="00BE7310"/>
    <w:rsid w:val="00BE77EA"/>
    <w:rsid w:val="00BF2048"/>
    <w:rsid w:val="00BF3D31"/>
    <w:rsid w:val="00BF56A8"/>
    <w:rsid w:val="00BF586B"/>
    <w:rsid w:val="00BF5A34"/>
    <w:rsid w:val="00BF6CAE"/>
    <w:rsid w:val="00C027C2"/>
    <w:rsid w:val="00C22421"/>
    <w:rsid w:val="00C24379"/>
    <w:rsid w:val="00C2445D"/>
    <w:rsid w:val="00C253D5"/>
    <w:rsid w:val="00C25761"/>
    <w:rsid w:val="00C356A2"/>
    <w:rsid w:val="00C36D96"/>
    <w:rsid w:val="00C374A7"/>
    <w:rsid w:val="00C40035"/>
    <w:rsid w:val="00C432D8"/>
    <w:rsid w:val="00C439BD"/>
    <w:rsid w:val="00C46D8E"/>
    <w:rsid w:val="00C56BAC"/>
    <w:rsid w:val="00C64960"/>
    <w:rsid w:val="00C65A2A"/>
    <w:rsid w:val="00C7066C"/>
    <w:rsid w:val="00C74FE7"/>
    <w:rsid w:val="00C8021A"/>
    <w:rsid w:val="00C818DC"/>
    <w:rsid w:val="00C8218C"/>
    <w:rsid w:val="00C856B4"/>
    <w:rsid w:val="00C90248"/>
    <w:rsid w:val="00C90C7A"/>
    <w:rsid w:val="00C92A84"/>
    <w:rsid w:val="00C92B0A"/>
    <w:rsid w:val="00CA3797"/>
    <w:rsid w:val="00CC1649"/>
    <w:rsid w:val="00CC4BEC"/>
    <w:rsid w:val="00CC72B9"/>
    <w:rsid w:val="00CD14BD"/>
    <w:rsid w:val="00CD5C68"/>
    <w:rsid w:val="00CE58ED"/>
    <w:rsid w:val="00CE5ACF"/>
    <w:rsid w:val="00CE79D6"/>
    <w:rsid w:val="00CF2A1E"/>
    <w:rsid w:val="00CF2D37"/>
    <w:rsid w:val="00CF3BE2"/>
    <w:rsid w:val="00CF5160"/>
    <w:rsid w:val="00CF64A8"/>
    <w:rsid w:val="00CF7515"/>
    <w:rsid w:val="00D00580"/>
    <w:rsid w:val="00D03F57"/>
    <w:rsid w:val="00D157BB"/>
    <w:rsid w:val="00D15CDC"/>
    <w:rsid w:val="00D176B3"/>
    <w:rsid w:val="00D215DF"/>
    <w:rsid w:val="00D30475"/>
    <w:rsid w:val="00D362FE"/>
    <w:rsid w:val="00D407A7"/>
    <w:rsid w:val="00D409E4"/>
    <w:rsid w:val="00D4323B"/>
    <w:rsid w:val="00D43CA1"/>
    <w:rsid w:val="00D4426F"/>
    <w:rsid w:val="00D53393"/>
    <w:rsid w:val="00D5719E"/>
    <w:rsid w:val="00D6193C"/>
    <w:rsid w:val="00D751E8"/>
    <w:rsid w:val="00D804E5"/>
    <w:rsid w:val="00D8773C"/>
    <w:rsid w:val="00DA0409"/>
    <w:rsid w:val="00DA16AB"/>
    <w:rsid w:val="00DA1992"/>
    <w:rsid w:val="00DA1CA3"/>
    <w:rsid w:val="00DA7B01"/>
    <w:rsid w:val="00DB3BAC"/>
    <w:rsid w:val="00DF06FE"/>
    <w:rsid w:val="00DF6244"/>
    <w:rsid w:val="00E006F3"/>
    <w:rsid w:val="00E01AC8"/>
    <w:rsid w:val="00E02790"/>
    <w:rsid w:val="00E05790"/>
    <w:rsid w:val="00E11EA2"/>
    <w:rsid w:val="00E2231B"/>
    <w:rsid w:val="00E304FB"/>
    <w:rsid w:val="00E31D42"/>
    <w:rsid w:val="00E32985"/>
    <w:rsid w:val="00E3442F"/>
    <w:rsid w:val="00E40508"/>
    <w:rsid w:val="00E4286E"/>
    <w:rsid w:val="00E43F40"/>
    <w:rsid w:val="00E454AF"/>
    <w:rsid w:val="00E477E2"/>
    <w:rsid w:val="00E52961"/>
    <w:rsid w:val="00E529AC"/>
    <w:rsid w:val="00E52F09"/>
    <w:rsid w:val="00E53EED"/>
    <w:rsid w:val="00E543CF"/>
    <w:rsid w:val="00E55A76"/>
    <w:rsid w:val="00E57607"/>
    <w:rsid w:val="00E6131B"/>
    <w:rsid w:val="00E66D12"/>
    <w:rsid w:val="00E7061E"/>
    <w:rsid w:val="00E74537"/>
    <w:rsid w:val="00E77A5B"/>
    <w:rsid w:val="00E809D9"/>
    <w:rsid w:val="00E83485"/>
    <w:rsid w:val="00E87357"/>
    <w:rsid w:val="00E876AC"/>
    <w:rsid w:val="00E9082F"/>
    <w:rsid w:val="00EA42F0"/>
    <w:rsid w:val="00EA6DC7"/>
    <w:rsid w:val="00EB242D"/>
    <w:rsid w:val="00EB502E"/>
    <w:rsid w:val="00EB7C3B"/>
    <w:rsid w:val="00EC577A"/>
    <w:rsid w:val="00ED2BD3"/>
    <w:rsid w:val="00ED34DA"/>
    <w:rsid w:val="00ED36AF"/>
    <w:rsid w:val="00ED44E9"/>
    <w:rsid w:val="00EE1A1A"/>
    <w:rsid w:val="00F037FC"/>
    <w:rsid w:val="00F12523"/>
    <w:rsid w:val="00F143A8"/>
    <w:rsid w:val="00F201BC"/>
    <w:rsid w:val="00F22911"/>
    <w:rsid w:val="00F3309D"/>
    <w:rsid w:val="00F34F40"/>
    <w:rsid w:val="00F35587"/>
    <w:rsid w:val="00F37E54"/>
    <w:rsid w:val="00F41B1B"/>
    <w:rsid w:val="00F42958"/>
    <w:rsid w:val="00F429F9"/>
    <w:rsid w:val="00F4374C"/>
    <w:rsid w:val="00F441D6"/>
    <w:rsid w:val="00F555C2"/>
    <w:rsid w:val="00F562E9"/>
    <w:rsid w:val="00F6073A"/>
    <w:rsid w:val="00F634A2"/>
    <w:rsid w:val="00F655FC"/>
    <w:rsid w:val="00F66C9A"/>
    <w:rsid w:val="00F676D8"/>
    <w:rsid w:val="00F70B0B"/>
    <w:rsid w:val="00F71052"/>
    <w:rsid w:val="00F72A08"/>
    <w:rsid w:val="00F80BE8"/>
    <w:rsid w:val="00F94FB9"/>
    <w:rsid w:val="00F96972"/>
    <w:rsid w:val="00FA0664"/>
    <w:rsid w:val="00FA186E"/>
    <w:rsid w:val="00FA1960"/>
    <w:rsid w:val="00FA2267"/>
    <w:rsid w:val="00FA5236"/>
    <w:rsid w:val="00FB0D81"/>
    <w:rsid w:val="00FB1B56"/>
    <w:rsid w:val="00FB2F0F"/>
    <w:rsid w:val="00FB4A9E"/>
    <w:rsid w:val="00FB6D0A"/>
    <w:rsid w:val="00FC1D7D"/>
    <w:rsid w:val="00FC607C"/>
    <w:rsid w:val="00FD0617"/>
    <w:rsid w:val="00FD49C7"/>
    <w:rsid w:val="00FD4C0B"/>
    <w:rsid w:val="00FD51F6"/>
    <w:rsid w:val="00FD74DB"/>
    <w:rsid w:val="00FE0647"/>
    <w:rsid w:val="00FE27AC"/>
    <w:rsid w:val="00FE72D6"/>
    <w:rsid w:val="00FE7D22"/>
    <w:rsid w:val="00FF124F"/>
    <w:rsid w:val="00FF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D2D6"/>
  <w15:chartTrackingRefBased/>
  <w15:docId w15:val="{9CD1365D-46B7-4744-9EAE-D22F8424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7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4759"/>
    <w:pPr>
      <w:keepNext/>
      <w:keepLines/>
      <w:numPr>
        <w:numId w:val="1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407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7335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49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A475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1A4759"/>
    <w:rPr>
      <w:sz w:val="16"/>
      <w:szCs w:val="16"/>
    </w:rPr>
  </w:style>
  <w:style w:type="paragraph" w:styleId="CommentText">
    <w:name w:val="annotation text"/>
    <w:basedOn w:val="Normal"/>
    <w:link w:val="CommentTextChar"/>
    <w:uiPriority w:val="99"/>
    <w:semiHidden/>
    <w:unhideWhenUsed/>
    <w:rsid w:val="001A4759"/>
    <w:pPr>
      <w:spacing w:line="240" w:lineRule="auto"/>
    </w:pPr>
    <w:rPr>
      <w:sz w:val="20"/>
      <w:szCs w:val="20"/>
    </w:rPr>
  </w:style>
  <w:style w:type="character" w:customStyle="1" w:styleId="CommentTextChar">
    <w:name w:val="Comment Text Char"/>
    <w:basedOn w:val="DefaultParagraphFont"/>
    <w:link w:val="CommentText"/>
    <w:uiPriority w:val="99"/>
    <w:semiHidden/>
    <w:rsid w:val="001A4759"/>
    <w:rPr>
      <w:sz w:val="20"/>
      <w:szCs w:val="20"/>
    </w:rPr>
  </w:style>
  <w:style w:type="paragraph" w:styleId="BalloonText">
    <w:name w:val="Balloon Text"/>
    <w:basedOn w:val="Normal"/>
    <w:link w:val="BalloonTextChar"/>
    <w:uiPriority w:val="99"/>
    <w:semiHidden/>
    <w:unhideWhenUsed/>
    <w:rsid w:val="001A4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59"/>
    <w:rPr>
      <w:rFonts w:ascii="Segoe UI" w:hAnsi="Segoe UI" w:cs="Segoe UI"/>
      <w:sz w:val="18"/>
      <w:szCs w:val="18"/>
    </w:rPr>
  </w:style>
  <w:style w:type="character" w:customStyle="1" w:styleId="Heading2Char">
    <w:name w:val="Heading 2 Char"/>
    <w:basedOn w:val="DefaultParagraphFont"/>
    <w:link w:val="Heading2"/>
    <w:uiPriority w:val="9"/>
    <w:rsid w:val="001A4759"/>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244453"/>
    <w:pPr>
      <w:spacing w:line="240" w:lineRule="auto"/>
    </w:pPr>
    <w:rPr>
      <w:i/>
      <w:iCs/>
      <w:color w:val="1F497D" w:themeColor="text2"/>
      <w:sz w:val="18"/>
      <w:szCs w:val="18"/>
    </w:rPr>
  </w:style>
  <w:style w:type="character" w:customStyle="1" w:styleId="stat-value">
    <w:name w:val="stat-value"/>
    <w:basedOn w:val="DefaultParagraphFont"/>
    <w:rsid w:val="00244453"/>
  </w:style>
  <w:style w:type="character" w:customStyle="1" w:styleId="stat-unit">
    <w:name w:val="stat-unit"/>
    <w:basedOn w:val="DefaultParagraphFont"/>
    <w:rsid w:val="00244453"/>
  </w:style>
  <w:style w:type="character" w:styleId="Hyperlink">
    <w:name w:val="Hyperlink"/>
    <w:basedOn w:val="DefaultParagraphFont"/>
    <w:uiPriority w:val="99"/>
    <w:unhideWhenUsed/>
    <w:rsid w:val="000C1A91"/>
    <w:rPr>
      <w:color w:val="0000FF"/>
      <w:u w:val="single"/>
    </w:rPr>
  </w:style>
  <w:style w:type="character" w:styleId="Emphasis">
    <w:name w:val="Emphasis"/>
    <w:basedOn w:val="DefaultParagraphFont"/>
    <w:uiPriority w:val="20"/>
    <w:qFormat/>
    <w:rsid w:val="000C1A91"/>
    <w:rPr>
      <w:i/>
      <w:iCs/>
    </w:rPr>
  </w:style>
  <w:style w:type="character" w:customStyle="1" w:styleId="Heading3Char">
    <w:name w:val="Heading 3 Char"/>
    <w:basedOn w:val="DefaultParagraphFont"/>
    <w:link w:val="Heading3"/>
    <w:uiPriority w:val="9"/>
    <w:rsid w:val="00D407A7"/>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A1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2C6D"/>
    <w:pPr>
      <w:ind w:left="720"/>
      <w:contextualSpacing/>
    </w:pPr>
  </w:style>
  <w:style w:type="paragraph" w:styleId="Title">
    <w:name w:val="Title"/>
    <w:basedOn w:val="Normal"/>
    <w:next w:val="Normal"/>
    <w:link w:val="TitleChar"/>
    <w:uiPriority w:val="10"/>
    <w:qFormat/>
    <w:rsid w:val="00F429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9F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C4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BA5"/>
  </w:style>
  <w:style w:type="paragraph" w:styleId="Footer">
    <w:name w:val="footer"/>
    <w:basedOn w:val="Normal"/>
    <w:link w:val="FooterChar"/>
    <w:uiPriority w:val="99"/>
    <w:unhideWhenUsed/>
    <w:rsid w:val="00BC4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BA5"/>
  </w:style>
  <w:style w:type="paragraph" w:styleId="TOCHeading">
    <w:name w:val="TOC Heading"/>
    <w:basedOn w:val="Heading1"/>
    <w:next w:val="Normal"/>
    <w:uiPriority w:val="39"/>
    <w:unhideWhenUsed/>
    <w:qFormat/>
    <w:rsid w:val="00700FB8"/>
    <w:pPr>
      <w:spacing w:line="259" w:lineRule="auto"/>
      <w:outlineLvl w:val="9"/>
    </w:pPr>
  </w:style>
  <w:style w:type="paragraph" w:styleId="TOC1">
    <w:name w:val="toc 1"/>
    <w:basedOn w:val="Normal"/>
    <w:next w:val="Normal"/>
    <w:autoRedefine/>
    <w:uiPriority w:val="39"/>
    <w:unhideWhenUsed/>
    <w:rsid w:val="00700FB8"/>
    <w:pPr>
      <w:spacing w:after="100"/>
    </w:pPr>
  </w:style>
  <w:style w:type="paragraph" w:styleId="TOC2">
    <w:name w:val="toc 2"/>
    <w:basedOn w:val="Normal"/>
    <w:next w:val="Normal"/>
    <w:autoRedefine/>
    <w:uiPriority w:val="39"/>
    <w:unhideWhenUsed/>
    <w:rsid w:val="00700FB8"/>
    <w:pPr>
      <w:spacing w:after="100"/>
      <w:ind w:left="220"/>
    </w:pPr>
  </w:style>
  <w:style w:type="paragraph" w:styleId="TOC3">
    <w:name w:val="toc 3"/>
    <w:basedOn w:val="Normal"/>
    <w:next w:val="Normal"/>
    <w:autoRedefine/>
    <w:uiPriority w:val="39"/>
    <w:unhideWhenUsed/>
    <w:rsid w:val="00700FB8"/>
    <w:pPr>
      <w:spacing w:after="100"/>
      <w:ind w:left="440"/>
    </w:pPr>
  </w:style>
  <w:style w:type="paragraph" w:styleId="TableofFigures">
    <w:name w:val="table of figures"/>
    <w:basedOn w:val="Normal"/>
    <w:next w:val="Normal"/>
    <w:uiPriority w:val="99"/>
    <w:unhideWhenUsed/>
    <w:rsid w:val="00CE5ACF"/>
    <w:pPr>
      <w:spacing w:after="0"/>
    </w:pPr>
  </w:style>
  <w:style w:type="paragraph" w:styleId="Bibliography">
    <w:name w:val="Bibliography"/>
    <w:basedOn w:val="Normal"/>
    <w:next w:val="Normal"/>
    <w:uiPriority w:val="37"/>
    <w:unhideWhenUsed/>
    <w:rsid w:val="002E24C0"/>
    <w:pPr>
      <w:spacing w:after="0" w:line="240" w:lineRule="auto"/>
      <w:ind w:left="720" w:hanging="720"/>
    </w:pPr>
  </w:style>
  <w:style w:type="paragraph" w:styleId="CommentSubject">
    <w:name w:val="annotation subject"/>
    <w:basedOn w:val="CommentText"/>
    <w:next w:val="CommentText"/>
    <w:link w:val="CommentSubjectChar"/>
    <w:uiPriority w:val="99"/>
    <w:semiHidden/>
    <w:unhideWhenUsed/>
    <w:rsid w:val="00240A8D"/>
    <w:rPr>
      <w:b/>
      <w:bCs/>
    </w:rPr>
  </w:style>
  <w:style w:type="character" w:customStyle="1" w:styleId="CommentSubjectChar">
    <w:name w:val="Comment Subject Char"/>
    <w:basedOn w:val="CommentTextChar"/>
    <w:link w:val="CommentSubject"/>
    <w:uiPriority w:val="99"/>
    <w:semiHidden/>
    <w:rsid w:val="00240A8D"/>
    <w:rPr>
      <w:b/>
      <w:bCs/>
      <w:sz w:val="20"/>
      <w:szCs w:val="20"/>
    </w:rPr>
  </w:style>
  <w:style w:type="character" w:customStyle="1" w:styleId="Heading4Char">
    <w:name w:val="Heading 4 Char"/>
    <w:basedOn w:val="DefaultParagraphFont"/>
    <w:link w:val="Heading4"/>
    <w:uiPriority w:val="9"/>
    <w:rsid w:val="00673350"/>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7C38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389A"/>
    <w:rPr>
      <w:sz w:val="20"/>
      <w:szCs w:val="20"/>
    </w:rPr>
  </w:style>
  <w:style w:type="character" w:styleId="FootnoteReference">
    <w:name w:val="footnote reference"/>
    <w:basedOn w:val="DefaultParagraphFont"/>
    <w:uiPriority w:val="99"/>
    <w:semiHidden/>
    <w:unhideWhenUsed/>
    <w:rsid w:val="007C389A"/>
    <w:rPr>
      <w:vertAlign w:val="superscript"/>
    </w:rPr>
  </w:style>
  <w:style w:type="table" w:styleId="PlainTable3">
    <w:name w:val="Plain Table 3"/>
    <w:basedOn w:val="TableNormal"/>
    <w:uiPriority w:val="43"/>
    <w:rsid w:val="00331D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607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rsid w:val="004610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46436">
      <w:bodyDiv w:val="1"/>
      <w:marLeft w:val="0"/>
      <w:marRight w:val="0"/>
      <w:marTop w:val="0"/>
      <w:marBottom w:val="0"/>
      <w:divBdr>
        <w:top w:val="none" w:sz="0" w:space="0" w:color="auto"/>
        <w:left w:val="none" w:sz="0" w:space="0" w:color="auto"/>
        <w:bottom w:val="none" w:sz="0" w:space="0" w:color="auto"/>
        <w:right w:val="none" w:sz="0" w:space="0" w:color="auto"/>
      </w:divBdr>
    </w:div>
    <w:div w:id="165749352">
      <w:bodyDiv w:val="1"/>
      <w:marLeft w:val="0"/>
      <w:marRight w:val="0"/>
      <w:marTop w:val="0"/>
      <w:marBottom w:val="0"/>
      <w:divBdr>
        <w:top w:val="none" w:sz="0" w:space="0" w:color="auto"/>
        <w:left w:val="none" w:sz="0" w:space="0" w:color="auto"/>
        <w:bottom w:val="none" w:sz="0" w:space="0" w:color="auto"/>
        <w:right w:val="none" w:sz="0" w:space="0" w:color="auto"/>
      </w:divBdr>
    </w:div>
    <w:div w:id="279339453">
      <w:bodyDiv w:val="1"/>
      <w:marLeft w:val="0"/>
      <w:marRight w:val="0"/>
      <w:marTop w:val="0"/>
      <w:marBottom w:val="0"/>
      <w:divBdr>
        <w:top w:val="none" w:sz="0" w:space="0" w:color="auto"/>
        <w:left w:val="none" w:sz="0" w:space="0" w:color="auto"/>
        <w:bottom w:val="none" w:sz="0" w:space="0" w:color="auto"/>
        <w:right w:val="none" w:sz="0" w:space="0" w:color="auto"/>
      </w:divBdr>
      <w:divsChild>
        <w:div w:id="1674071302">
          <w:marLeft w:val="0"/>
          <w:marRight w:val="0"/>
          <w:marTop w:val="0"/>
          <w:marBottom w:val="300"/>
          <w:divBdr>
            <w:top w:val="none" w:sz="0" w:space="0" w:color="auto"/>
            <w:left w:val="none" w:sz="0" w:space="0" w:color="auto"/>
            <w:bottom w:val="none" w:sz="0" w:space="0" w:color="auto"/>
            <w:right w:val="none" w:sz="0" w:space="0" w:color="auto"/>
          </w:divBdr>
        </w:div>
        <w:div w:id="63383859">
          <w:marLeft w:val="0"/>
          <w:marRight w:val="0"/>
          <w:marTop w:val="0"/>
          <w:marBottom w:val="300"/>
          <w:divBdr>
            <w:top w:val="none" w:sz="0" w:space="0" w:color="auto"/>
            <w:left w:val="none" w:sz="0" w:space="0" w:color="auto"/>
            <w:bottom w:val="none" w:sz="0" w:space="0" w:color="auto"/>
            <w:right w:val="none" w:sz="0" w:space="0" w:color="auto"/>
          </w:divBdr>
        </w:div>
        <w:div w:id="772675339">
          <w:marLeft w:val="0"/>
          <w:marRight w:val="0"/>
          <w:marTop w:val="0"/>
          <w:marBottom w:val="300"/>
          <w:divBdr>
            <w:top w:val="none" w:sz="0" w:space="0" w:color="auto"/>
            <w:left w:val="none" w:sz="0" w:space="0" w:color="auto"/>
            <w:bottom w:val="none" w:sz="0" w:space="0" w:color="auto"/>
            <w:right w:val="none" w:sz="0" w:space="0" w:color="auto"/>
          </w:divBdr>
        </w:div>
      </w:divsChild>
    </w:div>
    <w:div w:id="326057204">
      <w:bodyDiv w:val="1"/>
      <w:marLeft w:val="0"/>
      <w:marRight w:val="0"/>
      <w:marTop w:val="0"/>
      <w:marBottom w:val="0"/>
      <w:divBdr>
        <w:top w:val="none" w:sz="0" w:space="0" w:color="auto"/>
        <w:left w:val="none" w:sz="0" w:space="0" w:color="auto"/>
        <w:bottom w:val="none" w:sz="0" w:space="0" w:color="auto"/>
        <w:right w:val="none" w:sz="0" w:space="0" w:color="auto"/>
      </w:divBdr>
      <w:divsChild>
        <w:div w:id="1145780645">
          <w:marLeft w:val="360"/>
          <w:marRight w:val="0"/>
          <w:marTop w:val="280"/>
          <w:marBottom w:val="0"/>
          <w:divBdr>
            <w:top w:val="none" w:sz="0" w:space="0" w:color="auto"/>
            <w:left w:val="none" w:sz="0" w:space="0" w:color="auto"/>
            <w:bottom w:val="none" w:sz="0" w:space="0" w:color="auto"/>
            <w:right w:val="none" w:sz="0" w:space="0" w:color="auto"/>
          </w:divBdr>
        </w:div>
        <w:div w:id="648091577">
          <w:marLeft w:val="720"/>
          <w:marRight w:val="0"/>
          <w:marTop w:val="40"/>
          <w:marBottom w:val="80"/>
          <w:divBdr>
            <w:top w:val="none" w:sz="0" w:space="0" w:color="auto"/>
            <w:left w:val="none" w:sz="0" w:space="0" w:color="auto"/>
            <w:bottom w:val="none" w:sz="0" w:space="0" w:color="auto"/>
            <w:right w:val="none" w:sz="0" w:space="0" w:color="auto"/>
          </w:divBdr>
        </w:div>
        <w:div w:id="626394207">
          <w:marLeft w:val="720"/>
          <w:marRight w:val="0"/>
          <w:marTop w:val="40"/>
          <w:marBottom w:val="80"/>
          <w:divBdr>
            <w:top w:val="none" w:sz="0" w:space="0" w:color="auto"/>
            <w:left w:val="none" w:sz="0" w:space="0" w:color="auto"/>
            <w:bottom w:val="none" w:sz="0" w:space="0" w:color="auto"/>
            <w:right w:val="none" w:sz="0" w:space="0" w:color="auto"/>
          </w:divBdr>
        </w:div>
        <w:div w:id="418990359">
          <w:marLeft w:val="360"/>
          <w:marRight w:val="0"/>
          <w:marTop w:val="280"/>
          <w:marBottom w:val="0"/>
          <w:divBdr>
            <w:top w:val="none" w:sz="0" w:space="0" w:color="auto"/>
            <w:left w:val="none" w:sz="0" w:space="0" w:color="auto"/>
            <w:bottom w:val="none" w:sz="0" w:space="0" w:color="auto"/>
            <w:right w:val="none" w:sz="0" w:space="0" w:color="auto"/>
          </w:divBdr>
        </w:div>
      </w:divsChild>
    </w:div>
    <w:div w:id="342055213">
      <w:bodyDiv w:val="1"/>
      <w:marLeft w:val="0"/>
      <w:marRight w:val="0"/>
      <w:marTop w:val="0"/>
      <w:marBottom w:val="0"/>
      <w:divBdr>
        <w:top w:val="none" w:sz="0" w:space="0" w:color="auto"/>
        <w:left w:val="none" w:sz="0" w:space="0" w:color="auto"/>
        <w:bottom w:val="none" w:sz="0" w:space="0" w:color="auto"/>
        <w:right w:val="none" w:sz="0" w:space="0" w:color="auto"/>
      </w:divBdr>
    </w:div>
    <w:div w:id="372506646">
      <w:bodyDiv w:val="1"/>
      <w:marLeft w:val="0"/>
      <w:marRight w:val="0"/>
      <w:marTop w:val="0"/>
      <w:marBottom w:val="0"/>
      <w:divBdr>
        <w:top w:val="none" w:sz="0" w:space="0" w:color="auto"/>
        <w:left w:val="none" w:sz="0" w:space="0" w:color="auto"/>
        <w:bottom w:val="none" w:sz="0" w:space="0" w:color="auto"/>
        <w:right w:val="none" w:sz="0" w:space="0" w:color="auto"/>
      </w:divBdr>
    </w:div>
    <w:div w:id="375353874">
      <w:bodyDiv w:val="1"/>
      <w:marLeft w:val="0"/>
      <w:marRight w:val="0"/>
      <w:marTop w:val="0"/>
      <w:marBottom w:val="0"/>
      <w:divBdr>
        <w:top w:val="none" w:sz="0" w:space="0" w:color="auto"/>
        <w:left w:val="none" w:sz="0" w:space="0" w:color="auto"/>
        <w:bottom w:val="none" w:sz="0" w:space="0" w:color="auto"/>
        <w:right w:val="none" w:sz="0" w:space="0" w:color="auto"/>
      </w:divBdr>
    </w:div>
    <w:div w:id="512839339">
      <w:bodyDiv w:val="1"/>
      <w:marLeft w:val="0"/>
      <w:marRight w:val="0"/>
      <w:marTop w:val="0"/>
      <w:marBottom w:val="0"/>
      <w:divBdr>
        <w:top w:val="none" w:sz="0" w:space="0" w:color="auto"/>
        <w:left w:val="none" w:sz="0" w:space="0" w:color="auto"/>
        <w:bottom w:val="none" w:sz="0" w:space="0" w:color="auto"/>
        <w:right w:val="none" w:sz="0" w:space="0" w:color="auto"/>
      </w:divBdr>
    </w:div>
    <w:div w:id="523400167">
      <w:bodyDiv w:val="1"/>
      <w:marLeft w:val="0"/>
      <w:marRight w:val="0"/>
      <w:marTop w:val="0"/>
      <w:marBottom w:val="0"/>
      <w:divBdr>
        <w:top w:val="none" w:sz="0" w:space="0" w:color="auto"/>
        <w:left w:val="none" w:sz="0" w:space="0" w:color="auto"/>
        <w:bottom w:val="none" w:sz="0" w:space="0" w:color="auto"/>
        <w:right w:val="none" w:sz="0" w:space="0" w:color="auto"/>
      </w:divBdr>
    </w:div>
    <w:div w:id="538786943">
      <w:bodyDiv w:val="1"/>
      <w:marLeft w:val="0"/>
      <w:marRight w:val="0"/>
      <w:marTop w:val="0"/>
      <w:marBottom w:val="0"/>
      <w:divBdr>
        <w:top w:val="none" w:sz="0" w:space="0" w:color="auto"/>
        <w:left w:val="none" w:sz="0" w:space="0" w:color="auto"/>
        <w:bottom w:val="none" w:sz="0" w:space="0" w:color="auto"/>
        <w:right w:val="none" w:sz="0" w:space="0" w:color="auto"/>
      </w:divBdr>
    </w:div>
    <w:div w:id="589200558">
      <w:bodyDiv w:val="1"/>
      <w:marLeft w:val="0"/>
      <w:marRight w:val="0"/>
      <w:marTop w:val="0"/>
      <w:marBottom w:val="0"/>
      <w:divBdr>
        <w:top w:val="none" w:sz="0" w:space="0" w:color="auto"/>
        <w:left w:val="none" w:sz="0" w:space="0" w:color="auto"/>
        <w:bottom w:val="none" w:sz="0" w:space="0" w:color="auto"/>
        <w:right w:val="none" w:sz="0" w:space="0" w:color="auto"/>
      </w:divBdr>
    </w:div>
    <w:div w:id="608584636">
      <w:bodyDiv w:val="1"/>
      <w:marLeft w:val="0"/>
      <w:marRight w:val="0"/>
      <w:marTop w:val="0"/>
      <w:marBottom w:val="0"/>
      <w:divBdr>
        <w:top w:val="none" w:sz="0" w:space="0" w:color="auto"/>
        <w:left w:val="none" w:sz="0" w:space="0" w:color="auto"/>
        <w:bottom w:val="none" w:sz="0" w:space="0" w:color="auto"/>
        <w:right w:val="none" w:sz="0" w:space="0" w:color="auto"/>
      </w:divBdr>
    </w:div>
    <w:div w:id="645355924">
      <w:bodyDiv w:val="1"/>
      <w:marLeft w:val="0"/>
      <w:marRight w:val="0"/>
      <w:marTop w:val="0"/>
      <w:marBottom w:val="0"/>
      <w:divBdr>
        <w:top w:val="none" w:sz="0" w:space="0" w:color="auto"/>
        <w:left w:val="none" w:sz="0" w:space="0" w:color="auto"/>
        <w:bottom w:val="none" w:sz="0" w:space="0" w:color="auto"/>
        <w:right w:val="none" w:sz="0" w:space="0" w:color="auto"/>
      </w:divBdr>
      <w:divsChild>
        <w:div w:id="945234552">
          <w:marLeft w:val="0"/>
          <w:marRight w:val="0"/>
          <w:marTop w:val="0"/>
          <w:marBottom w:val="0"/>
          <w:divBdr>
            <w:top w:val="none" w:sz="0" w:space="0" w:color="auto"/>
            <w:left w:val="none" w:sz="0" w:space="0" w:color="auto"/>
            <w:bottom w:val="none" w:sz="0" w:space="0" w:color="auto"/>
            <w:right w:val="none" w:sz="0" w:space="0" w:color="auto"/>
          </w:divBdr>
        </w:div>
        <w:div w:id="1739548218">
          <w:marLeft w:val="0"/>
          <w:marRight w:val="0"/>
          <w:marTop w:val="0"/>
          <w:marBottom w:val="0"/>
          <w:divBdr>
            <w:top w:val="none" w:sz="0" w:space="0" w:color="auto"/>
            <w:left w:val="none" w:sz="0" w:space="0" w:color="auto"/>
            <w:bottom w:val="none" w:sz="0" w:space="0" w:color="auto"/>
            <w:right w:val="none" w:sz="0" w:space="0" w:color="auto"/>
          </w:divBdr>
        </w:div>
        <w:div w:id="1550149404">
          <w:marLeft w:val="0"/>
          <w:marRight w:val="0"/>
          <w:marTop w:val="0"/>
          <w:marBottom w:val="0"/>
          <w:divBdr>
            <w:top w:val="none" w:sz="0" w:space="0" w:color="auto"/>
            <w:left w:val="none" w:sz="0" w:space="0" w:color="auto"/>
            <w:bottom w:val="none" w:sz="0" w:space="0" w:color="auto"/>
            <w:right w:val="none" w:sz="0" w:space="0" w:color="auto"/>
          </w:divBdr>
        </w:div>
        <w:div w:id="829098534">
          <w:marLeft w:val="0"/>
          <w:marRight w:val="0"/>
          <w:marTop w:val="0"/>
          <w:marBottom w:val="0"/>
          <w:divBdr>
            <w:top w:val="none" w:sz="0" w:space="0" w:color="auto"/>
            <w:left w:val="none" w:sz="0" w:space="0" w:color="auto"/>
            <w:bottom w:val="none" w:sz="0" w:space="0" w:color="auto"/>
            <w:right w:val="none" w:sz="0" w:space="0" w:color="auto"/>
          </w:divBdr>
        </w:div>
        <w:div w:id="1481265476">
          <w:marLeft w:val="0"/>
          <w:marRight w:val="0"/>
          <w:marTop w:val="0"/>
          <w:marBottom w:val="0"/>
          <w:divBdr>
            <w:top w:val="none" w:sz="0" w:space="0" w:color="auto"/>
            <w:left w:val="none" w:sz="0" w:space="0" w:color="auto"/>
            <w:bottom w:val="none" w:sz="0" w:space="0" w:color="auto"/>
            <w:right w:val="none" w:sz="0" w:space="0" w:color="auto"/>
          </w:divBdr>
        </w:div>
        <w:div w:id="899487281">
          <w:marLeft w:val="0"/>
          <w:marRight w:val="0"/>
          <w:marTop w:val="0"/>
          <w:marBottom w:val="0"/>
          <w:divBdr>
            <w:top w:val="none" w:sz="0" w:space="0" w:color="auto"/>
            <w:left w:val="none" w:sz="0" w:space="0" w:color="auto"/>
            <w:bottom w:val="none" w:sz="0" w:space="0" w:color="auto"/>
            <w:right w:val="none" w:sz="0" w:space="0" w:color="auto"/>
          </w:divBdr>
        </w:div>
        <w:div w:id="1741322603">
          <w:marLeft w:val="0"/>
          <w:marRight w:val="0"/>
          <w:marTop w:val="0"/>
          <w:marBottom w:val="0"/>
          <w:divBdr>
            <w:top w:val="none" w:sz="0" w:space="0" w:color="auto"/>
            <w:left w:val="none" w:sz="0" w:space="0" w:color="auto"/>
            <w:bottom w:val="none" w:sz="0" w:space="0" w:color="auto"/>
            <w:right w:val="none" w:sz="0" w:space="0" w:color="auto"/>
          </w:divBdr>
        </w:div>
      </w:divsChild>
    </w:div>
    <w:div w:id="668286890">
      <w:bodyDiv w:val="1"/>
      <w:marLeft w:val="0"/>
      <w:marRight w:val="0"/>
      <w:marTop w:val="0"/>
      <w:marBottom w:val="0"/>
      <w:divBdr>
        <w:top w:val="none" w:sz="0" w:space="0" w:color="auto"/>
        <w:left w:val="none" w:sz="0" w:space="0" w:color="auto"/>
        <w:bottom w:val="none" w:sz="0" w:space="0" w:color="auto"/>
        <w:right w:val="none" w:sz="0" w:space="0" w:color="auto"/>
      </w:divBdr>
      <w:divsChild>
        <w:div w:id="447352626">
          <w:marLeft w:val="0"/>
          <w:marRight w:val="0"/>
          <w:marTop w:val="0"/>
          <w:marBottom w:val="0"/>
          <w:divBdr>
            <w:top w:val="none" w:sz="0" w:space="0" w:color="auto"/>
            <w:left w:val="none" w:sz="0" w:space="0" w:color="auto"/>
            <w:bottom w:val="none" w:sz="0" w:space="0" w:color="auto"/>
            <w:right w:val="none" w:sz="0" w:space="0" w:color="auto"/>
          </w:divBdr>
        </w:div>
        <w:div w:id="2143762939">
          <w:marLeft w:val="0"/>
          <w:marRight w:val="0"/>
          <w:marTop w:val="0"/>
          <w:marBottom w:val="0"/>
          <w:divBdr>
            <w:top w:val="none" w:sz="0" w:space="0" w:color="auto"/>
            <w:left w:val="none" w:sz="0" w:space="0" w:color="auto"/>
            <w:bottom w:val="none" w:sz="0" w:space="0" w:color="auto"/>
            <w:right w:val="none" w:sz="0" w:space="0" w:color="auto"/>
          </w:divBdr>
        </w:div>
        <w:div w:id="1870337632">
          <w:marLeft w:val="0"/>
          <w:marRight w:val="0"/>
          <w:marTop w:val="0"/>
          <w:marBottom w:val="0"/>
          <w:divBdr>
            <w:top w:val="none" w:sz="0" w:space="0" w:color="auto"/>
            <w:left w:val="none" w:sz="0" w:space="0" w:color="auto"/>
            <w:bottom w:val="none" w:sz="0" w:space="0" w:color="auto"/>
            <w:right w:val="none" w:sz="0" w:space="0" w:color="auto"/>
          </w:divBdr>
        </w:div>
        <w:div w:id="2125540720">
          <w:marLeft w:val="0"/>
          <w:marRight w:val="0"/>
          <w:marTop w:val="0"/>
          <w:marBottom w:val="0"/>
          <w:divBdr>
            <w:top w:val="none" w:sz="0" w:space="0" w:color="auto"/>
            <w:left w:val="none" w:sz="0" w:space="0" w:color="auto"/>
            <w:bottom w:val="none" w:sz="0" w:space="0" w:color="auto"/>
            <w:right w:val="none" w:sz="0" w:space="0" w:color="auto"/>
          </w:divBdr>
        </w:div>
      </w:divsChild>
    </w:div>
    <w:div w:id="684794386">
      <w:bodyDiv w:val="1"/>
      <w:marLeft w:val="0"/>
      <w:marRight w:val="0"/>
      <w:marTop w:val="0"/>
      <w:marBottom w:val="0"/>
      <w:divBdr>
        <w:top w:val="none" w:sz="0" w:space="0" w:color="auto"/>
        <w:left w:val="none" w:sz="0" w:space="0" w:color="auto"/>
        <w:bottom w:val="none" w:sz="0" w:space="0" w:color="auto"/>
        <w:right w:val="none" w:sz="0" w:space="0" w:color="auto"/>
      </w:divBdr>
      <w:divsChild>
        <w:div w:id="1019818711">
          <w:marLeft w:val="0"/>
          <w:marRight w:val="0"/>
          <w:marTop w:val="0"/>
          <w:marBottom w:val="0"/>
          <w:divBdr>
            <w:top w:val="none" w:sz="0" w:space="0" w:color="auto"/>
            <w:left w:val="none" w:sz="0" w:space="0" w:color="auto"/>
            <w:bottom w:val="none" w:sz="0" w:space="0" w:color="auto"/>
            <w:right w:val="none" w:sz="0" w:space="0" w:color="auto"/>
          </w:divBdr>
        </w:div>
        <w:div w:id="1859347573">
          <w:marLeft w:val="0"/>
          <w:marRight w:val="0"/>
          <w:marTop w:val="0"/>
          <w:marBottom w:val="0"/>
          <w:divBdr>
            <w:top w:val="none" w:sz="0" w:space="0" w:color="auto"/>
            <w:left w:val="none" w:sz="0" w:space="0" w:color="auto"/>
            <w:bottom w:val="none" w:sz="0" w:space="0" w:color="auto"/>
            <w:right w:val="none" w:sz="0" w:space="0" w:color="auto"/>
          </w:divBdr>
        </w:div>
        <w:div w:id="45758029">
          <w:marLeft w:val="0"/>
          <w:marRight w:val="0"/>
          <w:marTop w:val="0"/>
          <w:marBottom w:val="0"/>
          <w:divBdr>
            <w:top w:val="none" w:sz="0" w:space="0" w:color="auto"/>
            <w:left w:val="none" w:sz="0" w:space="0" w:color="auto"/>
            <w:bottom w:val="none" w:sz="0" w:space="0" w:color="auto"/>
            <w:right w:val="none" w:sz="0" w:space="0" w:color="auto"/>
          </w:divBdr>
        </w:div>
        <w:div w:id="1247181908">
          <w:marLeft w:val="0"/>
          <w:marRight w:val="0"/>
          <w:marTop w:val="0"/>
          <w:marBottom w:val="0"/>
          <w:divBdr>
            <w:top w:val="none" w:sz="0" w:space="0" w:color="auto"/>
            <w:left w:val="none" w:sz="0" w:space="0" w:color="auto"/>
            <w:bottom w:val="none" w:sz="0" w:space="0" w:color="auto"/>
            <w:right w:val="none" w:sz="0" w:space="0" w:color="auto"/>
          </w:divBdr>
        </w:div>
        <w:div w:id="1115367208">
          <w:marLeft w:val="0"/>
          <w:marRight w:val="0"/>
          <w:marTop w:val="0"/>
          <w:marBottom w:val="0"/>
          <w:divBdr>
            <w:top w:val="none" w:sz="0" w:space="0" w:color="auto"/>
            <w:left w:val="none" w:sz="0" w:space="0" w:color="auto"/>
            <w:bottom w:val="none" w:sz="0" w:space="0" w:color="auto"/>
            <w:right w:val="none" w:sz="0" w:space="0" w:color="auto"/>
          </w:divBdr>
        </w:div>
        <w:div w:id="727610254">
          <w:marLeft w:val="0"/>
          <w:marRight w:val="0"/>
          <w:marTop w:val="0"/>
          <w:marBottom w:val="0"/>
          <w:divBdr>
            <w:top w:val="none" w:sz="0" w:space="0" w:color="auto"/>
            <w:left w:val="none" w:sz="0" w:space="0" w:color="auto"/>
            <w:bottom w:val="none" w:sz="0" w:space="0" w:color="auto"/>
            <w:right w:val="none" w:sz="0" w:space="0" w:color="auto"/>
          </w:divBdr>
        </w:div>
        <w:div w:id="986130905">
          <w:marLeft w:val="0"/>
          <w:marRight w:val="0"/>
          <w:marTop w:val="0"/>
          <w:marBottom w:val="0"/>
          <w:divBdr>
            <w:top w:val="none" w:sz="0" w:space="0" w:color="auto"/>
            <w:left w:val="none" w:sz="0" w:space="0" w:color="auto"/>
            <w:bottom w:val="none" w:sz="0" w:space="0" w:color="auto"/>
            <w:right w:val="none" w:sz="0" w:space="0" w:color="auto"/>
          </w:divBdr>
        </w:div>
        <w:div w:id="22825414">
          <w:marLeft w:val="0"/>
          <w:marRight w:val="0"/>
          <w:marTop w:val="0"/>
          <w:marBottom w:val="0"/>
          <w:divBdr>
            <w:top w:val="none" w:sz="0" w:space="0" w:color="auto"/>
            <w:left w:val="none" w:sz="0" w:space="0" w:color="auto"/>
            <w:bottom w:val="none" w:sz="0" w:space="0" w:color="auto"/>
            <w:right w:val="none" w:sz="0" w:space="0" w:color="auto"/>
          </w:divBdr>
        </w:div>
        <w:div w:id="1089502511">
          <w:marLeft w:val="0"/>
          <w:marRight w:val="0"/>
          <w:marTop w:val="0"/>
          <w:marBottom w:val="0"/>
          <w:divBdr>
            <w:top w:val="none" w:sz="0" w:space="0" w:color="auto"/>
            <w:left w:val="none" w:sz="0" w:space="0" w:color="auto"/>
            <w:bottom w:val="none" w:sz="0" w:space="0" w:color="auto"/>
            <w:right w:val="none" w:sz="0" w:space="0" w:color="auto"/>
          </w:divBdr>
        </w:div>
        <w:div w:id="568612868">
          <w:marLeft w:val="0"/>
          <w:marRight w:val="0"/>
          <w:marTop w:val="0"/>
          <w:marBottom w:val="0"/>
          <w:divBdr>
            <w:top w:val="none" w:sz="0" w:space="0" w:color="auto"/>
            <w:left w:val="none" w:sz="0" w:space="0" w:color="auto"/>
            <w:bottom w:val="none" w:sz="0" w:space="0" w:color="auto"/>
            <w:right w:val="none" w:sz="0" w:space="0" w:color="auto"/>
          </w:divBdr>
        </w:div>
        <w:div w:id="1055936209">
          <w:marLeft w:val="0"/>
          <w:marRight w:val="0"/>
          <w:marTop w:val="0"/>
          <w:marBottom w:val="0"/>
          <w:divBdr>
            <w:top w:val="none" w:sz="0" w:space="0" w:color="auto"/>
            <w:left w:val="none" w:sz="0" w:space="0" w:color="auto"/>
            <w:bottom w:val="none" w:sz="0" w:space="0" w:color="auto"/>
            <w:right w:val="none" w:sz="0" w:space="0" w:color="auto"/>
          </w:divBdr>
        </w:div>
        <w:div w:id="1001663745">
          <w:marLeft w:val="0"/>
          <w:marRight w:val="0"/>
          <w:marTop w:val="0"/>
          <w:marBottom w:val="0"/>
          <w:divBdr>
            <w:top w:val="none" w:sz="0" w:space="0" w:color="auto"/>
            <w:left w:val="none" w:sz="0" w:space="0" w:color="auto"/>
            <w:bottom w:val="none" w:sz="0" w:space="0" w:color="auto"/>
            <w:right w:val="none" w:sz="0" w:space="0" w:color="auto"/>
          </w:divBdr>
        </w:div>
        <w:div w:id="392432550">
          <w:marLeft w:val="0"/>
          <w:marRight w:val="0"/>
          <w:marTop w:val="0"/>
          <w:marBottom w:val="0"/>
          <w:divBdr>
            <w:top w:val="none" w:sz="0" w:space="0" w:color="auto"/>
            <w:left w:val="none" w:sz="0" w:space="0" w:color="auto"/>
            <w:bottom w:val="none" w:sz="0" w:space="0" w:color="auto"/>
            <w:right w:val="none" w:sz="0" w:space="0" w:color="auto"/>
          </w:divBdr>
        </w:div>
        <w:div w:id="1744717139">
          <w:marLeft w:val="0"/>
          <w:marRight w:val="0"/>
          <w:marTop w:val="0"/>
          <w:marBottom w:val="0"/>
          <w:divBdr>
            <w:top w:val="none" w:sz="0" w:space="0" w:color="auto"/>
            <w:left w:val="none" w:sz="0" w:space="0" w:color="auto"/>
            <w:bottom w:val="none" w:sz="0" w:space="0" w:color="auto"/>
            <w:right w:val="none" w:sz="0" w:space="0" w:color="auto"/>
          </w:divBdr>
        </w:div>
        <w:div w:id="651566995">
          <w:marLeft w:val="0"/>
          <w:marRight w:val="0"/>
          <w:marTop w:val="0"/>
          <w:marBottom w:val="0"/>
          <w:divBdr>
            <w:top w:val="none" w:sz="0" w:space="0" w:color="auto"/>
            <w:left w:val="none" w:sz="0" w:space="0" w:color="auto"/>
            <w:bottom w:val="none" w:sz="0" w:space="0" w:color="auto"/>
            <w:right w:val="none" w:sz="0" w:space="0" w:color="auto"/>
          </w:divBdr>
        </w:div>
        <w:div w:id="1331255687">
          <w:marLeft w:val="0"/>
          <w:marRight w:val="0"/>
          <w:marTop w:val="0"/>
          <w:marBottom w:val="0"/>
          <w:divBdr>
            <w:top w:val="none" w:sz="0" w:space="0" w:color="auto"/>
            <w:left w:val="none" w:sz="0" w:space="0" w:color="auto"/>
            <w:bottom w:val="none" w:sz="0" w:space="0" w:color="auto"/>
            <w:right w:val="none" w:sz="0" w:space="0" w:color="auto"/>
          </w:divBdr>
        </w:div>
        <w:div w:id="725762574">
          <w:marLeft w:val="0"/>
          <w:marRight w:val="0"/>
          <w:marTop w:val="0"/>
          <w:marBottom w:val="0"/>
          <w:divBdr>
            <w:top w:val="none" w:sz="0" w:space="0" w:color="auto"/>
            <w:left w:val="none" w:sz="0" w:space="0" w:color="auto"/>
            <w:bottom w:val="none" w:sz="0" w:space="0" w:color="auto"/>
            <w:right w:val="none" w:sz="0" w:space="0" w:color="auto"/>
          </w:divBdr>
        </w:div>
        <w:div w:id="532810151">
          <w:marLeft w:val="0"/>
          <w:marRight w:val="0"/>
          <w:marTop w:val="0"/>
          <w:marBottom w:val="0"/>
          <w:divBdr>
            <w:top w:val="none" w:sz="0" w:space="0" w:color="auto"/>
            <w:left w:val="none" w:sz="0" w:space="0" w:color="auto"/>
            <w:bottom w:val="none" w:sz="0" w:space="0" w:color="auto"/>
            <w:right w:val="none" w:sz="0" w:space="0" w:color="auto"/>
          </w:divBdr>
        </w:div>
        <w:div w:id="1559976913">
          <w:marLeft w:val="0"/>
          <w:marRight w:val="0"/>
          <w:marTop w:val="0"/>
          <w:marBottom w:val="0"/>
          <w:divBdr>
            <w:top w:val="none" w:sz="0" w:space="0" w:color="auto"/>
            <w:left w:val="none" w:sz="0" w:space="0" w:color="auto"/>
            <w:bottom w:val="none" w:sz="0" w:space="0" w:color="auto"/>
            <w:right w:val="none" w:sz="0" w:space="0" w:color="auto"/>
          </w:divBdr>
        </w:div>
        <w:div w:id="346567920">
          <w:marLeft w:val="0"/>
          <w:marRight w:val="0"/>
          <w:marTop w:val="0"/>
          <w:marBottom w:val="0"/>
          <w:divBdr>
            <w:top w:val="none" w:sz="0" w:space="0" w:color="auto"/>
            <w:left w:val="none" w:sz="0" w:space="0" w:color="auto"/>
            <w:bottom w:val="none" w:sz="0" w:space="0" w:color="auto"/>
            <w:right w:val="none" w:sz="0" w:space="0" w:color="auto"/>
          </w:divBdr>
        </w:div>
      </w:divsChild>
    </w:div>
    <w:div w:id="739714614">
      <w:bodyDiv w:val="1"/>
      <w:marLeft w:val="0"/>
      <w:marRight w:val="0"/>
      <w:marTop w:val="0"/>
      <w:marBottom w:val="0"/>
      <w:divBdr>
        <w:top w:val="none" w:sz="0" w:space="0" w:color="auto"/>
        <w:left w:val="none" w:sz="0" w:space="0" w:color="auto"/>
        <w:bottom w:val="none" w:sz="0" w:space="0" w:color="auto"/>
        <w:right w:val="none" w:sz="0" w:space="0" w:color="auto"/>
      </w:divBdr>
    </w:div>
    <w:div w:id="783498414">
      <w:bodyDiv w:val="1"/>
      <w:marLeft w:val="0"/>
      <w:marRight w:val="0"/>
      <w:marTop w:val="0"/>
      <w:marBottom w:val="0"/>
      <w:divBdr>
        <w:top w:val="none" w:sz="0" w:space="0" w:color="auto"/>
        <w:left w:val="none" w:sz="0" w:space="0" w:color="auto"/>
        <w:bottom w:val="none" w:sz="0" w:space="0" w:color="auto"/>
        <w:right w:val="none" w:sz="0" w:space="0" w:color="auto"/>
      </w:divBdr>
      <w:divsChild>
        <w:div w:id="1051149403">
          <w:marLeft w:val="0"/>
          <w:marRight w:val="0"/>
          <w:marTop w:val="0"/>
          <w:marBottom w:val="0"/>
          <w:divBdr>
            <w:top w:val="none" w:sz="0" w:space="0" w:color="auto"/>
            <w:left w:val="none" w:sz="0" w:space="0" w:color="auto"/>
            <w:bottom w:val="none" w:sz="0" w:space="0" w:color="auto"/>
            <w:right w:val="none" w:sz="0" w:space="0" w:color="auto"/>
          </w:divBdr>
        </w:div>
        <w:div w:id="1909219267">
          <w:marLeft w:val="0"/>
          <w:marRight w:val="0"/>
          <w:marTop w:val="0"/>
          <w:marBottom w:val="0"/>
          <w:divBdr>
            <w:top w:val="none" w:sz="0" w:space="0" w:color="auto"/>
            <w:left w:val="none" w:sz="0" w:space="0" w:color="auto"/>
            <w:bottom w:val="none" w:sz="0" w:space="0" w:color="auto"/>
            <w:right w:val="none" w:sz="0" w:space="0" w:color="auto"/>
          </w:divBdr>
        </w:div>
        <w:div w:id="1297371247">
          <w:marLeft w:val="0"/>
          <w:marRight w:val="0"/>
          <w:marTop w:val="0"/>
          <w:marBottom w:val="0"/>
          <w:divBdr>
            <w:top w:val="none" w:sz="0" w:space="0" w:color="auto"/>
            <w:left w:val="none" w:sz="0" w:space="0" w:color="auto"/>
            <w:bottom w:val="none" w:sz="0" w:space="0" w:color="auto"/>
            <w:right w:val="none" w:sz="0" w:space="0" w:color="auto"/>
          </w:divBdr>
        </w:div>
        <w:div w:id="1070150194">
          <w:marLeft w:val="0"/>
          <w:marRight w:val="0"/>
          <w:marTop w:val="0"/>
          <w:marBottom w:val="0"/>
          <w:divBdr>
            <w:top w:val="none" w:sz="0" w:space="0" w:color="auto"/>
            <w:left w:val="none" w:sz="0" w:space="0" w:color="auto"/>
            <w:bottom w:val="none" w:sz="0" w:space="0" w:color="auto"/>
            <w:right w:val="none" w:sz="0" w:space="0" w:color="auto"/>
          </w:divBdr>
        </w:div>
        <w:div w:id="902523562">
          <w:marLeft w:val="0"/>
          <w:marRight w:val="0"/>
          <w:marTop w:val="0"/>
          <w:marBottom w:val="0"/>
          <w:divBdr>
            <w:top w:val="none" w:sz="0" w:space="0" w:color="auto"/>
            <w:left w:val="none" w:sz="0" w:space="0" w:color="auto"/>
            <w:bottom w:val="none" w:sz="0" w:space="0" w:color="auto"/>
            <w:right w:val="none" w:sz="0" w:space="0" w:color="auto"/>
          </w:divBdr>
        </w:div>
        <w:div w:id="745614752">
          <w:marLeft w:val="0"/>
          <w:marRight w:val="0"/>
          <w:marTop w:val="0"/>
          <w:marBottom w:val="0"/>
          <w:divBdr>
            <w:top w:val="none" w:sz="0" w:space="0" w:color="auto"/>
            <w:left w:val="none" w:sz="0" w:space="0" w:color="auto"/>
            <w:bottom w:val="none" w:sz="0" w:space="0" w:color="auto"/>
            <w:right w:val="none" w:sz="0" w:space="0" w:color="auto"/>
          </w:divBdr>
        </w:div>
        <w:div w:id="1862934692">
          <w:marLeft w:val="0"/>
          <w:marRight w:val="0"/>
          <w:marTop w:val="0"/>
          <w:marBottom w:val="0"/>
          <w:divBdr>
            <w:top w:val="none" w:sz="0" w:space="0" w:color="auto"/>
            <w:left w:val="none" w:sz="0" w:space="0" w:color="auto"/>
            <w:bottom w:val="none" w:sz="0" w:space="0" w:color="auto"/>
            <w:right w:val="none" w:sz="0" w:space="0" w:color="auto"/>
          </w:divBdr>
        </w:div>
        <w:div w:id="917135650">
          <w:marLeft w:val="0"/>
          <w:marRight w:val="0"/>
          <w:marTop w:val="0"/>
          <w:marBottom w:val="0"/>
          <w:divBdr>
            <w:top w:val="none" w:sz="0" w:space="0" w:color="auto"/>
            <w:left w:val="none" w:sz="0" w:space="0" w:color="auto"/>
            <w:bottom w:val="none" w:sz="0" w:space="0" w:color="auto"/>
            <w:right w:val="none" w:sz="0" w:space="0" w:color="auto"/>
          </w:divBdr>
        </w:div>
        <w:div w:id="66465105">
          <w:marLeft w:val="0"/>
          <w:marRight w:val="0"/>
          <w:marTop w:val="0"/>
          <w:marBottom w:val="0"/>
          <w:divBdr>
            <w:top w:val="none" w:sz="0" w:space="0" w:color="auto"/>
            <w:left w:val="none" w:sz="0" w:space="0" w:color="auto"/>
            <w:bottom w:val="none" w:sz="0" w:space="0" w:color="auto"/>
            <w:right w:val="none" w:sz="0" w:space="0" w:color="auto"/>
          </w:divBdr>
        </w:div>
        <w:div w:id="367604180">
          <w:marLeft w:val="0"/>
          <w:marRight w:val="0"/>
          <w:marTop w:val="0"/>
          <w:marBottom w:val="0"/>
          <w:divBdr>
            <w:top w:val="none" w:sz="0" w:space="0" w:color="auto"/>
            <w:left w:val="none" w:sz="0" w:space="0" w:color="auto"/>
            <w:bottom w:val="none" w:sz="0" w:space="0" w:color="auto"/>
            <w:right w:val="none" w:sz="0" w:space="0" w:color="auto"/>
          </w:divBdr>
        </w:div>
        <w:div w:id="586235150">
          <w:marLeft w:val="0"/>
          <w:marRight w:val="0"/>
          <w:marTop w:val="0"/>
          <w:marBottom w:val="0"/>
          <w:divBdr>
            <w:top w:val="none" w:sz="0" w:space="0" w:color="auto"/>
            <w:left w:val="none" w:sz="0" w:space="0" w:color="auto"/>
            <w:bottom w:val="none" w:sz="0" w:space="0" w:color="auto"/>
            <w:right w:val="none" w:sz="0" w:space="0" w:color="auto"/>
          </w:divBdr>
        </w:div>
        <w:div w:id="1390568210">
          <w:marLeft w:val="0"/>
          <w:marRight w:val="0"/>
          <w:marTop w:val="0"/>
          <w:marBottom w:val="0"/>
          <w:divBdr>
            <w:top w:val="none" w:sz="0" w:space="0" w:color="auto"/>
            <w:left w:val="none" w:sz="0" w:space="0" w:color="auto"/>
            <w:bottom w:val="none" w:sz="0" w:space="0" w:color="auto"/>
            <w:right w:val="none" w:sz="0" w:space="0" w:color="auto"/>
          </w:divBdr>
        </w:div>
      </w:divsChild>
    </w:div>
    <w:div w:id="785586669">
      <w:bodyDiv w:val="1"/>
      <w:marLeft w:val="0"/>
      <w:marRight w:val="0"/>
      <w:marTop w:val="0"/>
      <w:marBottom w:val="0"/>
      <w:divBdr>
        <w:top w:val="none" w:sz="0" w:space="0" w:color="auto"/>
        <w:left w:val="none" w:sz="0" w:space="0" w:color="auto"/>
        <w:bottom w:val="none" w:sz="0" w:space="0" w:color="auto"/>
        <w:right w:val="none" w:sz="0" w:space="0" w:color="auto"/>
      </w:divBdr>
      <w:divsChild>
        <w:div w:id="1531650241">
          <w:marLeft w:val="360"/>
          <w:marRight w:val="0"/>
          <w:marTop w:val="280"/>
          <w:marBottom w:val="0"/>
          <w:divBdr>
            <w:top w:val="none" w:sz="0" w:space="0" w:color="auto"/>
            <w:left w:val="none" w:sz="0" w:space="0" w:color="auto"/>
            <w:bottom w:val="none" w:sz="0" w:space="0" w:color="auto"/>
            <w:right w:val="none" w:sz="0" w:space="0" w:color="auto"/>
          </w:divBdr>
        </w:div>
        <w:div w:id="392893960">
          <w:marLeft w:val="360"/>
          <w:marRight w:val="0"/>
          <w:marTop w:val="280"/>
          <w:marBottom w:val="0"/>
          <w:divBdr>
            <w:top w:val="none" w:sz="0" w:space="0" w:color="auto"/>
            <w:left w:val="none" w:sz="0" w:space="0" w:color="auto"/>
            <w:bottom w:val="none" w:sz="0" w:space="0" w:color="auto"/>
            <w:right w:val="none" w:sz="0" w:space="0" w:color="auto"/>
          </w:divBdr>
        </w:div>
        <w:div w:id="1355498966">
          <w:marLeft w:val="360"/>
          <w:marRight w:val="0"/>
          <w:marTop w:val="280"/>
          <w:marBottom w:val="0"/>
          <w:divBdr>
            <w:top w:val="none" w:sz="0" w:space="0" w:color="auto"/>
            <w:left w:val="none" w:sz="0" w:space="0" w:color="auto"/>
            <w:bottom w:val="none" w:sz="0" w:space="0" w:color="auto"/>
            <w:right w:val="none" w:sz="0" w:space="0" w:color="auto"/>
          </w:divBdr>
        </w:div>
      </w:divsChild>
    </w:div>
    <w:div w:id="821430767">
      <w:bodyDiv w:val="1"/>
      <w:marLeft w:val="0"/>
      <w:marRight w:val="0"/>
      <w:marTop w:val="0"/>
      <w:marBottom w:val="0"/>
      <w:divBdr>
        <w:top w:val="none" w:sz="0" w:space="0" w:color="auto"/>
        <w:left w:val="none" w:sz="0" w:space="0" w:color="auto"/>
        <w:bottom w:val="none" w:sz="0" w:space="0" w:color="auto"/>
        <w:right w:val="none" w:sz="0" w:space="0" w:color="auto"/>
      </w:divBdr>
    </w:div>
    <w:div w:id="894193580">
      <w:bodyDiv w:val="1"/>
      <w:marLeft w:val="0"/>
      <w:marRight w:val="0"/>
      <w:marTop w:val="0"/>
      <w:marBottom w:val="0"/>
      <w:divBdr>
        <w:top w:val="none" w:sz="0" w:space="0" w:color="auto"/>
        <w:left w:val="none" w:sz="0" w:space="0" w:color="auto"/>
        <w:bottom w:val="none" w:sz="0" w:space="0" w:color="auto"/>
        <w:right w:val="none" w:sz="0" w:space="0" w:color="auto"/>
      </w:divBdr>
    </w:div>
    <w:div w:id="942348509">
      <w:bodyDiv w:val="1"/>
      <w:marLeft w:val="0"/>
      <w:marRight w:val="0"/>
      <w:marTop w:val="0"/>
      <w:marBottom w:val="0"/>
      <w:divBdr>
        <w:top w:val="none" w:sz="0" w:space="0" w:color="auto"/>
        <w:left w:val="none" w:sz="0" w:space="0" w:color="auto"/>
        <w:bottom w:val="none" w:sz="0" w:space="0" w:color="auto"/>
        <w:right w:val="none" w:sz="0" w:space="0" w:color="auto"/>
      </w:divBdr>
    </w:div>
    <w:div w:id="943347992">
      <w:bodyDiv w:val="1"/>
      <w:marLeft w:val="0"/>
      <w:marRight w:val="0"/>
      <w:marTop w:val="0"/>
      <w:marBottom w:val="0"/>
      <w:divBdr>
        <w:top w:val="none" w:sz="0" w:space="0" w:color="auto"/>
        <w:left w:val="none" w:sz="0" w:space="0" w:color="auto"/>
        <w:bottom w:val="none" w:sz="0" w:space="0" w:color="auto"/>
        <w:right w:val="none" w:sz="0" w:space="0" w:color="auto"/>
      </w:divBdr>
      <w:divsChild>
        <w:div w:id="346760104">
          <w:marLeft w:val="0"/>
          <w:marRight w:val="0"/>
          <w:marTop w:val="0"/>
          <w:marBottom w:val="0"/>
          <w:divBdr>
            <w:top w:val="none" w:sz="0" w:space="0" w:color="auto"/>
            <w:left w:val="none" w:sz="0" w:space="0" w:color="auto"/>
            <w:bottom w:val="none" w:sz="0" w:space="0" w:color="auto"/>
            <w:right w:val="none" w:sz="0" w:space="0" w:color="auto"/>
          </w:divBdr>
        </w:div>
        <w:div w:id="131216225">
          <w:marLeft w:val="0"/>
          <w:marRight w:val="0"/>
          <w:marTop w:val="0"/>
          <w:marBottom w:val="0"/>
          <w:divBdr>
            <w:top w:val="none" w:sz="0" w:space="0" w:color="auto"/>
            <w:left w:val="none" w:sz="0" w:space="0" w:color="auto"/>
            <w:bottom w:val="none" w:sz="0" w:space="0" w:color="auto"/>
            <w:right w:val="none" w:sz="0" w:space="0" w:color="auto"/>
          </w:divBdr>
        </w:div>
        <w:div w:id="639263252">
          <w:marLeft w:val="0"/>
          <w:marRight w:val="0"/>
          <w:marTop w:val="0"/>
          <w:marBottom w:val="0"/>
          <w:divBdr>
            <w:top w:val="none" w:sz="0" w:space="0" w:color="auto"/>
            <w:left w:val="none" w:sz="0" w:space="0" w:color="auto"/>
            <w:bottom w:val="none" w:sz="0" w:space="0" w:color="auto"/>
            <w:right w:val="none" w:sz="0" w:space="0" w:color="auto"/>
          </w:divBdr>
        </w:div>
        <w:div w:id="783502682">
          <w:marLeft w:val="0"/>
          <w:marRight w:val="0"/>
          <w:marTop w:val="0"/>
          <w:marBottom w:val="0"/>
          <w:divBdr>
            <w:top w:val="none" w:sz="0" w:space="0" w:color="auto"/>
            <w:left w:val="none" w:sz="0" w:space="0" w:color="auto"/>
            <w:bottom w:val="none" w:sz="0" w:space="0" w:color="auto"/>
            <w:right w:val="none" w:sz="0" w:space="0" w:color="auto"/>
          </w:divBdr>
        </w:div>
        <w:div w:id="594509603">
          <w:marLeft w:val="0"/>
          <w:marRight w:val="0"/>
          <w:marTop w:val="0"/>
          <w:marBottom w:val="0"/>
          <w:divBdr>
            <w:top w:val="none" w:sz="0" w:space="0" w:color="auto"/>
            <w:left w:val="none" w:sz="0" w:space="0" w:color="auto"/>
            <w:bottom w:val="none" w:sz="0" w:space="0" w:color="auto"/>
            <w:right w:val="none" w:sz="0" w:space="0" w:color="auto"/>
          </w:divBdr>
        </w:div>
        <w:div w:id="246309764">
          <w:marLeft w:val="0"/>
          <w:marRight w:val="0"/>
          <w:marTop w:val="0"/>
          <w:marBottom w:val="0"/>
          <w:divBdr>
            <w:top w:val="none" w:sz="0" w:space="0" w:color="auto"/>
            <w:left w:val="none" w:sz="0" w:space="0" w:color="auto"/>
            <w:bottom w:val="none" w:sz="0" w:space="0" w:color="auto"/>
            <w:right w:val="none" w:sz="0" w:space="0" w:color="auto"/>
          </w:divBdr>
        </w:div>
        <w:div w:id="1537279990">
          <w:marLeft w:val="0"/>
          <w:marRight w:val="0"/>
          <w:marTop w:val="0"/>
          <w:marBottom w:val="0"/>
          <w:divBdr>
            <w:top w:val="none" w:sz="0" w:space="0" w:color="auto"/>
            <w:left w:val="none" w:sz="0" w:space="0" w:color="auto"/>
            <w:bottom w:val="none" w:sz="0" w:space="0" w:color="auto"/>
            <w:right w:val="none" w:sz="0" w:space="0" w:color="auto"/>
          </w:divBdr>
          <w:divsChild>
            <w:div w:id="202639037">
              <w:marLeft w:val="0"/>
              <w:marRight w:val="0"/>
              <w:marTop w:val="0"/>
              <w:marBottom w:val="0"/>
              <w:divBdr>
                <w:top w:val="none" w:sz="0" w:space="0" w:color="auto"/>
                <w:left w:val="none" w:sz="0" w:space="0" w:color="auto"/>
                <w:bottom w:val="none" w:sz="0" w:space="0" w:color="auto"/>
                <w:right w:val="none" w:sz="0" w:space="0" w:color="auto"/>
              </w:divBdr>
              <w:divsChild>
                <w:div w:id="694039681">
                  <w:marLeft w:val="0"/>
                  <w:marRight w:val="0"/>
                  <w:marTop w:val="0"/>
                  <w:marBottom w:val="0"/>
                  <w:divBdr>
                    <w:top w:val="none" w:sz="0" w:space="0" w:color="auto"/>
                    <w:left w:val="none" w:sz="0" w:space="0" w:color="auto"/>
                    <w:bottom w:val="none" w:sz="0" w:space="0" w:color="auto"/>
                    <w:right w:val="none" w:sz="0" w:space="0" w:color="auto"/>
                  </w:divBdr>
                </w:div>
                <w:div w:id="1209102530">
                  <w:marLeft w:val="0"/>
                  <w:marRight w:val="0"/>
                  <w:marTop w:val="0"/>
                  <w:marBottom w:val="0"/>
                  <w:divBdr>
                    <w:top w:val="none" w:sz="0" w:space="0" w:color="auto"/>
                    <w:left w:val="none" w:sz="0" w:space="0" w:color="auto"/>
                    <w:bottom w:val="none" w:sz="0" w:space="0" w:color="auto"/>
                    <w:right w:val="none" w:sz="0" w:space="0" w:color="auto"/>
                  </w:divBdr>
                </w:div>
                <w:div w:id="2002194407">
                  <w:marLeft w:val="0"/>
                  <w:marRight w:val="0"/>
                  <w:marTop w:val="0"/>
                  <w:marBottom w:val="0"/>
                  <w:divBdr>
                    <w:top w:val="none" w:sz="0" w:space="0" w:color="auto"/>
                    <w:left w:val="none" w:sz="0" w:space="0" w:color="auto"/>
                    <w:bottom w:val="none" w:sz="0" w:space="0" w:color="auto"/>
                    <w:right w:val="none" w:sz="0" w:space="0" w:color="auto"/>
                  </w:divBdr>
                </w:div>
                <w:div w:id="377433375">
                  <w:marLeft w:val="0"/>
                  <w:marRight w:val="0"/>
                  <w:marTop w:val="0"/>
                  <w:marBottom w:val="0"/>
                  <w:divBdr>
                    <w:top w:val="none" w:sz="0" w:space="0" w:color="auto"/>
                    <w:left w:val="none" w:sz="0" w:space="0" w:color="auto"/>
                    <w:bottom w:val="none" w:sz="0" w:space="0" w:color="auto"/>
                    <w:right w:val="none" w:sz="0" w:space="0" w:color="auto"/>
                  </w:divBdr>
                </w:div>
                <w:div w:id="342437892">
                  <w:marLeft w:val="0"/>
                  <w:marRight w:val="0"/>
                  <w:marTop w:val="0"/>
                  <w:marBottom w:val="0"/>
                  <w:divBdr>
                    <w:top w:val="none" w:sz="0" w:space="0" w:color="auto"/>
                    <w:left w:val="none" w:sz="0" w:space="0" w:color="auto"/>
                    <w:bottom w:val="none" w:sz="0" w:space="0" w:color="auto"/>
                    <w:right w:val="none" w:sz="0" w:space="0" w:color="auto"/>
                  </w:divBdr>
                </w:div>
                <w:div w:id="323045294">
                  <w:marLeft w:val="0"/>
                  <w:marRight w:val="0"/>
                  <w:marTop w:val="0"/>
                  <w:marBottom w:val="0"/>
                  <w:divBdr>
                    <w:top w:val="none" w:sz="0" w:space="0" w:color="auto"/>
                    <w:left w:val="none" w:sz="0" w:space="0" w:color="auto"/>
                    <w:bottom w:val="none" w:sz="0" w:space="0" w:color="auto"/>
                    <w:right w:val="none" w:sz="0" w:space="0" w:color="auto"/>
                  </w:divBdr>
                </w:div>
                <w:div w:id="1871916123">
                  <w:marLeft w:val="0"/>
                  <w:marRight w:val="0"/>
                  <w:marTop w:val="0"/>
                  <w:marBottom w:val="0"/>
                  <w:divBdr>
                    <w:top w:val="none" w:sz="0" w:space="0" w:color="auto"/>
                    <w:left w:val="none" w:sz="0" w:space="0" w:color="auto"/>
                    <w:bottom w:val="none" w:sz="0" w:space="0" w:color="auto"/>
                    <w:right w:val="none" w:sz="0" w:space="0" w:color="auto"/>
                  </w:divBdr>
                </w:div>
                <w:div w:id="885528788">
                  <w:marLeft w:val="0"/>
                  <w:marRight w:val="0"/>
                  <w:marTop w:val="0"/>
                  <w:marBottom w:val="0"/>
                  <w:divBdr>
                    <w:top w:val="none" w:sz="0" w:space="0" w:color="auto"/>
                    <w:left w:val="none" w:sz="0" w:space="0" w:color="auto"/>
                    <w:bottom w:val="none" w:sz="0" w:space="0" w:color="auto"/>
                    <w:right w:val="none" w:sz="0" w:space="0" w:color="auto"/>
                  </w:divBdr>
                </w:div>
                <w:div w:id="4986216">
                  <w:marLeft w:val="0"/>
                  <w:marRight w:val="0"/>
                  <w:marTop w:val="0"/>
                  <w:marBottom w:val="0"/>
                  <w:divBdr>
                    <w:top w:val="none" w:sz="0" w:space="0" w:color="auto"/>
                    <w:left w:val="none" w:sz="0" w:space="0" w:color="auto"/>
                    <w:bottom w:val="none" w:sz="0" w:space="0" w:color="auto"/>
                    <w:right w:val="none" w:sz="0" w:space="0" w:color="auto"/>
                  </w:divBdr>
                </w:div>
                <w:div w:id="1386374326">
                  <w:marLeft w:val="0"/>
                  <w:marRight w:val="0"/>
                  <w:marTop w:val="0"/>
                  <w:marBottom w:val="0"/>
                  <w:divBdr>
                    <w:top w:val="none" w:sz="0" w:space="0" w:color="auto"/>
                    <w:left w:val="none" w:sz="0" w:space="0" w:color="auto"/>
                    <w:bottom w:val="none" w:sz="0" w:space="0" w:color="auto"/>
                    <w:right w:val="none" w:sz="0" w:space="0" w:color="auto"/>
                  </w:divBdr>
                </w:div>
                <w:div w:id="1396514913">
                  <w:marLeft w:val="0"/>
                  <w:marRight w:val="0"/>
                  <w:marTop w:val="0"/>
                  <w:marBottom w:val="0"/>
                  <w:divBdr>
                    <w:top w:val="none" w:sz="0" w:space="0" w:color="auto"/>
                    <w:left w:val="none" w:sz="0" w:space="0" w:color="auto"/>
                    <w:bottom w:val="none" w:sz="0" w:space="0" w:color="auto"/>
                    <w:right w:val="none" w:sz="0" w:space="0" w:color="auto"/>
                  </w:divBdr>
                </w:div>
                <w:div w:id="765273286">
                  <w:marLeft w:val="0"/>
                  <w:marRight w:val="0"/>
                  <w:marTop w:val="0"/>
                  <w:marBottom w:val="0"/>
                  <w:divBdr>
                    <w:top w:val="none" w:sz="0" w:space="0" w:color="auto"/>
                    <w:left w:val="none" w:sz="0" w:space="0" w:color="auto"/>
                    <w:bottom w:val="none" w:sz="0" w:space="0" w:color="auto"/>
                    <w:right w:val="none" w:sz="0" w:space="0" w:color="auto"/>
                  </w:divBdr>
                </w:div>
                <w:div w:id="1536111959">
                  <w:marLeft w:val="0"/>
                  <w:marRight w:val="0"/>
                  <w:marTop w:val="0"/>
                  <w:marBottom w:val="0"/>
                  <w:divBdr>
                    <w:top w:val="none" w:sz="0" w:space="0" w:color="auto"/>
                    <w:left w:val="none" w:sz="0" w:space="0" w:color="auto"/>
                    <w:bottom w:val="none" w:sz="0" w:space="0" w:color="auto"/>
                    <w:right w:val="none" w:sz="0" w:space="0" w:color="auto"/>
                  </w:divBdr>
                </w:div>
                <w:div w:id="1364749025">
                  <w:marLeft w:val="0"/>
                  <w:marRight w:val="0"/>
                  <w:marTop w:val="0"/>
                  <w:marBottom w:val="0"/>
                  <w:divBdr>
                    <w:top w:val="none" w:sz="0" w:space="0" w:color="auto"/>
                    <w:left w:val="none" w:sz="0" w:space="0" w:color="auto"/>
                    <w:bottom w:val="none" w:sz="0" w:space="0" w:color="auto"/>
                    <w:right w:val="none" w:sz="0" w:space="0" w:color="auto"/>
                  </w:divBdr>
                </w:div>
                <w:div w:id="1342272192">
                  <w:marLeft w:val="0"/>
                  <w:marRight w:val="0"/>
                  <w:marTop w:val="0"/>
                  <w:marBottom w:val="0"/>
                  <w:divBdr>
                    <w:top w:val="none" w:sz="0" w:space="0" w:color="auto"/>
                    <w:left w:val="none" w:sz="0" w:space="0" w:color="auto"/>
                    <w:bottom w:val="none" w:sz="0" w:space="0" w:color="auto"/>
                    <w:right w:val="none" w:sz="0" w:space="0" w:color="auto"/>
                  </w:divBdr>
                </w:div>
                <w:div w:id="1630043013">
                  <w:marLeft w:val="0"/>
                  <w:marRight w:val="0"/>
                  <w:marTop w:val="0"/>
                  <w:marBottom w:val="0"/>
                  <w:divBdr>
                    <w:top w:val="none" w:sz="0" w:space="0" w:color="auto"/>
                    <w:left w:val="none" w:sz="0" w:space="0" w:color="auto"/>
                    <w:bottom w:val="none" w:sz="0" w:space="0" w:color="auto"/>
                    <w:right w:val="none" w:sz="0" w:space="0" w:color="auto"/>
                  </w:divBdr>
                </w:div>
                <w:div w:id="1399591729">
                  <w:marLeft w:val="0"/>
                  <w:marRight w:val="0"/>
                  <w:marTop w:val="0"/>
                  <w:marBottom w:val="0"/>
                  <w:divBdr>
                    <w:top w:val="none" w:sz="0" w:space="0" w:color="auto"/>
                    <w:left w:val="none" w:sz="0" w:space="0" w:color="auto"/>
                    <w:bottom w:val="none" w:sz="0" w:space="0" w:color="auto"/>
                    <w:right w:val="none" w:sz="0" w:space="0" w:color="auto"/>
                  </w:divBdr>
                </w:div>
                <w:div w:id="1487742789">
                  <w:marLeft w:val="0"/>
                  <w:marRight w:val="0"/>
                  <w:marTop w:val="0"/>
                  <w:marBottom w:val="0"/>
                  <w:divBdr>
                    <w:top w:val="none" w:sz="0" w:space="0" w:color="auto"/>
                    <w:left w:val="none" w:sz="0" w:space="0" w:color="auto"/>
                    <w:bottom w:val="none" w:sz="0" w:space="0" w:color="auto"/>
                    <w:right w:val="none" w:sz="0" w:space="0" w:color="auto"/>
                  </w:divBdr>
                </w:div>
                <w:div w:id="482745365">
                  <w:marLeft w:val="0"/>
                  <w:marRight w:val="0"/>
                  <w:marTop w:val="0"/>
                  <w:marBottom w:val="0"/>
                  <w:divBdr>
                    <w:top w:val="none" w:sz="0" w:space="0" w:color="auto"/>
                    <w:left w:val="none" w:sz="0" w:space="0" w:color="auto"/>
                    <w:bottom w:val="none" w:sz="0" w:space="0" w:color="auto"/>
                    <w:right w:val="none" w:sz="0" w:space="0" w:color="auto"/>
                  </w:divBdr>
                </w:div>
                <w:div w:id="18401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6471">
          <w:marLeft w:val="0"/>
          <w:marRight w:val="0"/>
          <w:marTop w:val="0"/>
          <w:marBottom w:val="0"/>
          <w:divBdr>
            <w:top w:val="none" w:sz="0" w:space="0" w:color="auto"/>
            <w:left w:val="none" w:sz="0" w:space="0" w:color="auto"/>
            <w:bottom w:val="none" w:sz="0" w:space="0" w:color="auto"/>
            <w:right w:val="none" w:sz="0" w:space="0" w:color="auto"/>
          </w:divBdr>
        </w:div>
      </w:divsChild>
    </w:div>
    <w:div w:id="1008480736">
      <w:bodyDiv w:val="1"/>
      <w:marLeft w:val="0"/>
      <w:marRight w:val="0"/>
      <w:marTop w:val="0"/>
      <w:marBottom w:val="0"/>
      <w:divBdr>
        <w:top w:val="none" w:sz="0" w:space="0" w:color="auto"/>
        <w:left w:val="none" w:sz="0" w:space="0" w:color="auto"/>
        <w:bottom w:val="none" w:sz="0" w:space="0" w:color="auto"/>
        <w:right w:val="none" w:sz="0" w:space="0" w:color="auto"/>
      </w:divBdr>
    </w:div>
    <w:div w:id="1063677090">
      <w:bodyDiv w:val="1"/>
      <w:marLeft w:val="0"/>
      <w:marRight w:val="0"/>
      <w:marTop w:val="0"/>
      <w:marBottom w:val="0"/>
      <w:divBdr>
        <w:top w:val="none" w:sz="0" w:space="0" w:color="auto"/>
        <w:left w:val="none" w:sz="0" w:space="0" w:color="auto"/>
        <w:bottom w:val="none" w:sz="0" w:space="0" w:color="auto"/>
        <w:right w:val="none" w:sz="0" w:space="0" w:color="auto"/>
      </w:divBdr>
    </w:div>
    <w:div w:id="1105854650">
      <w:bodyDiv w:val="1"/>
      <w:marLeft w:val="0"/>
      <w:marRight w:val="0"/>
      <w:marTop w:val="0"/>
      <w:marBottom w:val="0"/>
      <w:divBdr>
        <w:top w:val="none" w:sz="0" w:space="0" w:color="auto"/>
        <w:left w:val="none" w:sz="0" w:space="0" w:color="auto"/>
        <w:bottom w:val="none" w:sz="0" w:space="0" w:color="auto"/>
        <w:right w:val="none" w:sz="0" w:space="0" w:color="auto"/>
      </w:divBdr>
    </w:div>
    <w:div w:id="1122461245">
      <w:bodyDiv w:val="1"/>
      <w:marLeft w:val="0"/>
      <w:marRight w:val="0"/>
      <w:marTop w:val="0"/>
      <w:marBottom w:val="0"/>
      <w:divBdr>
        <w:top w:val="none" w:sz="0" w:space="0" w:color="auto"/>
        <w:left w:val="none" w:sz="0" w:space="0" w:color="auto"/>
        <w:bottom w:val="none" w:sz="0" w:space="0" w:color="auto"/>
        <w:right w:val="none" w:sz="0" w:space="0" w:color="auto"/>
      </w:divBdr>
    </w:div>
    <w:div w:id="1202935873">
      <w:bodyDiv w:val="1"/>
      <w:marLeft w:val="0"/>
      <w:marRight w:val="0"/>
      <w:marTop w:val="0"/>
      <w:marBottom w:val="0"/>
      <w:divBdr>
        <w:top w:val="none" w:sz="0" w:space="0" w:color="auto"/>
        <w:left w:val="none" w:sz="0" w:space="0" w:color="auto"/>
        <w:bottom w:val="none" w:sz="0" w:space="0" w:color="auto"/>
        <w:right w:val="none" w:sz="0" w:space="0" w:color="auto"/>
      </w:divBdr>
    </w:div>
    <w:div w:id="1210339356">
      <w:bodyDiv w:val="1"/>
      <w:marLeft w:val="0"/>
      <w:marRight w:val="0"/>
      <w:marTop w:val="0"/>
      <w:marBottom w:val="0"/>
      <w:divBdr>
        <w:top w:val="none" w:sz="0" w:space="0" w:color="auto"/>
        <w:left w:val="none" w:sz="0" w:space="0" w:color="auto"/>
        <w:bottom w:val="none" w:sz="0" w:space="0" w:color="auto"/>
        <w:right w:val="none" w:sz="0" w:space="0" w:color="auto"/>
      </w:divBdr>
    </w:div>
    <w:div w:id="1212577820">
      <w:bodyDiv w:val="1"/>
      <w:marLeft w:val="0"/>
      <w:marRight w:val="0"/>
      <w:marTop w:val="0"/>
      <w:marBottom w:val="0"/>
      <w:divBdr>
        <w:top w:val="none" w:sz="0" w:space="0" w:color="auto"/>
        <w:left w:val="none" w:sz="0" w:space="0" w:color="auto"/>
        <w:bottom w:val="none" w:sz="0" w:space="0" w:color="auto"/>
        <w:right w:val="none" w:sz="0" w:space="0" w:color="auto"/>
      </w:divBdr>
    </w:div>
    <w:div w:id="1230731632">
      <w:bodyDiv w:val="1"/>
      <w:marLeft w:val="0"/>
      <w:marRight w:val="0"/>
      <w:marTop w:val="0"/>
      <w:marBottom w:val="0"/>
      <w:divBdr>
        <w:top w:val="none" w:sz="0" w:space="0" w:color="auto"/>
        <w:left w:val="none" w:sz="0" w:space="0" w:color="auto"/>
        <w:bottom w:val="none" w:sz="0" w:space="0" w:color="auto"/>
        <w:right w:val="none" w:sz="0" w:space="0" w:color="auto"/>
      </w:divBdr>
      <w:divsChild>
        <w:div w:id="80303289">
          <w:marLeft w:val="0"/>
          <w:marRight w:val="0"/>
          <w:marTop w:val="0"/>
          <w:marBottom w:val="0"/>
          <w:divBdr>
            <w:top w:val="none" w:sz="0" w:space="0" w:color="auto"/>
            <w:left w:val="none" w:sz="0" w:space="0" w:color="auto"/>
            <w:bottom w:val="none" w:sz="0" w:space="0" w:color="auto"/>
            <w:right w:val="none" w:sz="0" w:space="0" w:color="auto"/>
          </w:divBdr>
        </w:div>
        <w:div w:id="1521167976">
          <w:marLeft w:val="0"/>
          <w:marRight w:val="0"/>
          <w:marTop w:val="0"/>
          <w:marBottom w:val="0"/>
          <w:divBdr>
            <w:top w:val="none" w:sz="0" w:space="0" w:color="auto"/>
            <w:left w:val="none" w:sz="0" w:space="0" w:color="auto"/>
            <w:bottom w:val="none" w:sz="0" w:space="0" w:color="auto"/>
            <w:right w:val="none" w:sz="0" w:space="0" w:color="auto"/>
          </w:divBdr>
        </w:div>
        <w:div w:id="1642617147">
          <w:marLeft w:val="0"/>
          <w:marRight w:val="0"/>
          <w:marTop w:val="0"/>
          <w:marBottom w:val="0"/>
          <w:divBdr>
            <w:top w:val="none" w:sz="0" w:space="0" w:color="auto"/>
            <w:left w:val="none" w:sz="0" w:space="0" w:color="auto"/>
            <w:bottom w:val="none" w:sz="0" w:space="0" w:color="auto"/>
            <w:right w:val="none" w:sz="0" w:space="0" w:color="auto"/>
          </w:divBdr>
        </w:div>
        <w:div w:id="1426462327">
          <w:marLeft w:val="0"/>
          <w:marRight w:val="0"/>
          <w:marTop w:val="0"/>
          <w:marBottom w:val="0"/>
          <w:divBdr>
            <w:top w:val="none" w:sz="0" w:space="0" w:color="auto"/>
            <w:left w:val="none" w:sz="0" w:space="0" w:color="auto"/>
            <w:bottom w:val="none" w:sz="0" w:space="0" w:color="auto"/>
            <w:right w:val="none" w:sz="0" w:space="0" w:color="auto"/>
          </w:divBdr>
        </w:div>
        <w:div w:id="1665474983">
          <w:marLeft w:val="0"/>
          <w:marRight w:val="0"/>
          <w:marTop w:val="0"/>
          <w:marBottom w:val="0"/>
          <w:divBdr>
            <w:top w:val="none" w:sz="0" w:space="0" w:color="auto"/>
            <w:left w:val="none" w:sz="0" w:space="0" w:color="auto"/>
            <w:bottom w:val="none" w:sz="0" w:space="0" w:color="auto"/>
            <w:right w:val="none" w:sz="0" w:space="0" w:color="auto"/>
          </w:divBdr>
        </w:div>
        <w:div w:id="611941650">
          <w:marLeft w:val="0"/>
          <w:marRight w:val="0"/>
          <w:marTop w:val="0"/>
          <w:marBottom w:val="0"/>
          <w:divBdr>
            <w:top w:val="none" w:sz="0" w:space="0" w:color="auto"/>
            <w:left w:val="none" w:sz="0" w:space="0" w:color="auto"/>
            <w:bottom w:val="none" w:sz="0" w:space="0" w:color="auto"/>
            <w:right w:val="none" w:sz="0" w:space="0" w:color="auto"/>
          </w:divBdr>
        </w:div>
      </w:divsChild>
    </w:div>
    <w:div w:id="1233347322">
      <w:bodyDiv w:val="1"/>
      <w:marLeft w:val="0"/>
      <w:marRight w:val="0"/>
      <w:marTop w:val="0"/>
      <w:marBottom w:val="0"/>
      <w:divBdr>
        <w:top w:val="none" w:sz="0" w:space="0" w:color="auto"/>
        <w:left w:val="none" w:sz="0" w:space="0" w:color="auto"/>
        <w:bottom w:val="none" w:sz="0" w:space="0" w:color="auto"/>
        <w:right w:val="none" w:sz="0" w:space="0" w:color="auto"/>
      </w:divBdr>
      <w:divsChild>
        <w:div w:id="2116093260">
          <w:marLeft w:val="0"/>
          <w:marRight w:val="0"/>
          <w:marTop w:val="0"/>
          <w:marBottom w:val="0"/>
          <w:divBdr>
            <w:top w:val="none" w:sz="0" w:space="0" w:color="auto"/>
            <w:left w:val="none" w:sz="0" w:space="0" w:color="auto"/>
            <w:bottom w:val="none" w:sz="0" w:space="0" w:color="auto"/>
            <w:right w:val="none" w:sz="0" w:space="0" w:color="auto"/>
          </w:divBdr>
        </w:div>
        <w:div w:id="784037425">
          <w:marLeft w:val="0"/>
          <w:marRight w:val="0"/>
          <w:marTop w:val="0"/>
          <w:marBottom w:val="0"/>
          <w:divBdr>
            <w:top w:val="none" w:sz="0" w:space="0" w:color="auto"/>
            <w:left w:val="none" w:sz="0" w:space="0" w:color="auto"/>
            <w:bottom w:val="none" w:sz="0" w:space="0" w:color="auto"/>
            <w:right w:val="none" w:sz="0" w:space="0" w:color="auto"/>
          </w:divBdr>
        </w:div>
        <w:div w:id="848906469">
          <w:marLeft w:val="0"/>
          <w:marRight w:val="0"/>
          <w:marTop w:val="0"/>
          <w:marBottom w:val="0"/>
          <w:divBdr>
            <w:top w:val="none" w:sz="0" w:space="0" w:color="auto"/>
            <w:left w:val="none" w:sz="0" w:space="0" w:color="auto"/>
            <w:bottom w:val="none" w:sz="0" w:space="0" w:color="auto"/>
            <w:right w:val="none" w:sz="0" w:space="0" w:color="auto"/>
          </w:divBdr>
        </w:div>
        <w:div w:id="432483026">
          <w:marLeft w:val="0"/>
          <w:marRight w:val="0"/>
          <w:marTop w:val="0"/>
          <w:marBottom w:val="0"/>
          <w:divBdr>
            <w:top w:val="none" w:sz="0" w:space="0" w:color="auto"/>
            <w:left w:val="none" w:sz="0" w:space="0" w:color="auto"/>
            <w:bottom w:val="none" w:sz="0" w:space="0" w:color="auto"/>
            <w:right w:val="none" w:sz="0" w:space="0" w:color="auto"/>
          </w:divBdr>
        </w:div>
        <w:div w:id="441075117">
          <w:marLeft w:val="0"/>
          <w:marRight w:val="0"/>
          <w:marTop w:val="0"/>
          <w:marBottom w:val="0"/>
          <w:divBdr>
            <w:top w:val="none" w:sz="0" w:space="0" w:color="auto"/>
            <w:left w:val="none" w:sz="0" w:space="0" w:color="auto"/>
            <w:bottom w:val="none" w:sz="0" w:space="0" w:color="auto"/>
            <w:right w:val="none" w:sz="0" w:space="0" w:color="auto"/>
          </w:divBdr>
        </w:div>
      </w:divsChild>
    </w:div>
    <w:div w:id="1241406949">
      <w:bodyDiv w:val="1"/>
      <w:marLeft w:val="0"/>
      <w:marRight w:val="0"/>
      <w:marTop w:val="0"/>
      <w:marBottom w:val="0"/>
      <w:divBdr>
        <w:top w:val="none" w:sz="0" w:space="0" w:color="auto"/>
        <w:left w:val="none" w:sz="0" w:space="0" w:color="auto"/>
        <w:bottom w:val="none" w:sz="0" w:space="0" w:color="auto"/>
        <w:right w:val="none" w:sz="0" w:space="0" w:color="auto"/>
      </w:divBdr>
    </w:div>
    <w:div w:id="1242059495">
      <w:bodyDiv w:val="1"/>
      <w:marLeft w:val="0"/>
      <w:marRight w:val="0"/>
      <w:marTop w:val="0"/>
      <w:marBottom w:val="0"/>
      <w:divBdr>
        <w:top w:val="none" w:sz="0" w:space="0" w:color="auto"/>
        <w:left w:val="none" w:sz="0" w:space="0" w:color="auto"/>
        <w:bottom w:val="none" w:sz="0" w:space="0" w:color="auto"/>
        <w:right w:val="none" w:sz="0" w:space="0" w:color="auto"/>
      </w:divBdr>
    </w:div>
    <w:div w:id="1256940775">
      <w:bodyDiv w:val="1"/>
      <w:marLeft w:val="0"/>
      <w:marRight w:val="0"/>
      <w:marTop w:val="0"/>
      <w:marBottom w:val="0"/>
      <w:divBdr>
        <w:top w:val="none" w:sz="0" w:space="0" w:color="auto"/>
        <w:left w:val="none" w:sz="0" w:space="0" w:color="auto"/>
        <w:bottom w:val="none" w:sz="0" w:space="0" w:color="auto"/>
        <w:right w:val="none" w:sz="0" w:space="0" w:color="auto"/>
      </w:divBdr>
    </w:div>
    <w:div w:id="1282565237">
      <w:bodyDiv w:val="1"/>
      <w:marLeft w:val="0"/>
      <w:marRight w:val="0"/>
      <w:marTop w:val="0"/>
      <w:marBottom w:val="0"/>
      <w:divBdr>
        <w:top w:val="none" w:sz="0" w:space="0" w:color="auto"/>
        <w:left w:val="none" w:sz="0" w:space="0" w:color="auto"/>
        <w:bottom w:val="none" w:sz="0" w:space="0" w:color="auto"/>
        <w:right w:val="none" w:sz="0" w:space="0" w:color="auto"/>
      </w:divBdr>
    </w:div>
    <w:div w:id="1283263713">
      <w:bodyDiv w:val="1"/>
      <w:marLeft w:val="0"/>
      <w:marRight w:val="0"/>
      <w:marTop w:val="0"/>
      <w:marBottom w:val="0"/>
      <w:divBdr>
        <w:top w:val="none" w:sz="0" w:space="0" w:color="auto"/>
        <w:left w:val="none" w:sz="0" w:space="0" w:color="auto"/>
        <w:bottom w:val="none" w:sz="0" w:space="0" w:color="auto"/>
        <w:right w:val="none" w:sz="0" w:space="0" w:color="auto"/>
      </w:divBdr>
    </w:div>
    <w:div w:id="1314287548">
      <w:bodyDiv w:val="1"/>
      <w:marLeft w:val="0"/>
      <w:marRight w:val="0"/>
      <w:marTop w:val="0"/>
      <w:marBottom w:val="0"/>
      <w:divBdr>
        <w:top w:val="none" w:sz="0" w:space="0" w:color="auto"/>
        <w:left w:val="none" w:sz="0" w:space="0" w:color="auto"/>
        <w:bottom w:val="none" w:sz="0" w:space="0" w:color="auto"/>
        <w:right w:val="none" w:sz="0" w:space="0" w:color="auto"/>
      </w:divBdr>
    </w:div>
    <w:div w:id="1435898676">
      <w:bodyDiv w:val="1"/>
      <w:marLeft w:val="0"/>
      <w:marRight w:val="0"/>
      <w:marTop w:val="0"/>
      <w:marBottom w:val="0"/>
      <w:divBdr>
        <w:top w:val="none" w:sz="0" w:space="0" w:color="auto"/>
        <w:left w:val="none" w:sz="0" w:space="0" w:color="auto"/>
        <w:bottom w:val="none" w:sz="0" w:space="0" w:color="auto"/>
        <w:right w:val="none" w:sz="0" w:space="0" w:color="auto"/>
      </w:divBdr>
      <w:divsChild>
        <w:div w:id="1414737461">
          <w:marLeft w:val="0"/>
          <w:marRight w:val="0"/>
          <w:marTop w:val="0"/>
          <w:marBottom w:val="0"/>
          <w:divBdr>
            <w:top w:val="none" w:sz="0" w:space="0" w:color="auto"/>
            <w:left w:val="none" w:sz="0" w:space="0" w:color="auto"/>
            <w:bottom w:val="none" w:sz="0" w:space="0" w:color="auto"/>
            <w:right w:val="none" w:sz="0" w:space="0" w:color="auto"/>
          </w:divBdr>
        </w:div>
        <w:div w:id="1147867256">
          <w:marLeft w:val="0"/>
          <w:marRight w:val="0"/>
          <w:marTop w:val="0"/>
          <w:marBottom w:val="0"/>
          <w:divBdr>
            <w:top w:val="none" w:sz="0" w:space="0" w:color="auto"/>
            <w:left w:val="none" w:sz="0" w:space="0" w:color="auto"/>
            <w:bottom w:val="none" w:sz="0" w:space="0" w:color="auto"/>
            <w:right w:val="none" w:sz="0" w:space="0" w:color="auto"/>
          </w:divBdr>
        </w:div>
      </w:divsChild>
    </w:div>
    <w:div w:id="1531720538">
      <w:bodyDiv w:val="1"/>
      <w:marLeft w:val="0"/>
      <w:marRight w:val="0"/>
      <w:marTop w:val="0"/>
      <w:marBottom w:val="0"/>
      <w:divBdr>
        <w:top w:val="none" w:sz="0" w:space="0" w:color="auto"/>
        <w:left w:val="none" w:sz="0" w:space="0" w:color="auto"/>
        <w:bottom w:val="none" w:sz="0" w:space="0" w:color="auto"/>
        <w:right w:val="none" w:sz="0" w:space="0" w:color="auto"/>
      </w:divBdr>
    </w:div>
    <w:div w:id="1595357887">
      <w:bodyDiv w:val="1"/>
      <w:marLeft w:val="0"/>
      <w:marRight w:val="0"/>
      <w:marTop w:val="0"/>
      <w:marBottom w:val="0"/>
      <w:divBdr>
        <w:top w:val="none" w:sz="0" w:space="0" w:color="auto"/>
        <w:left w:val="none" w:sz="0" w:space="0" w:color="auto"/>
        <w:bottom w:val="none" w:sz="0" w:space="0" w:color="auto"/>
        <w:right w:val="none" w:sz="0" w:space="0" w:color="auto"/>
      </w:divBdr>
    </w:div>
    <w:div w:id="1612206944">
      <w:bodyDiv w:val="1"/>
      <w:marLeft w:val="0"/>
      <w:marRight w:val="0"/>
      <w:marTop w:val="0"/>
      <w:marBottom w:val="0"/>
      <w:divBdr>
        <w:top w:val="none" w:sz="0" w:space="0" w:color="auto"/>
        <w:left w:val="none" w:sz="0" w:space="0" w:color="auto"/>
        <w:bottom w:val="none" w:sz="0" w:space="0" w:color="auto"/>
        <w:right w:val="none" w:sz="0" w:space="0" w:color="auto"/>
      </w:divBdr>
    </w:div>
    <w:div w:id="1669554971">
      <w:bodyDiv w:val="1"/>
      <w:marLeft w:val="0"/>
      <w:marRight w:val="0"/>
      <w:marTop w:val="0"/>
      <w:marBottom w:val="0"/>
      <w:divBdr>
        <w:top w:val="none" w:sz="0" w:space="0" w:color="auto"/>
        <w:left w:val="none" w:sz="0" w:space="0" w:color="auto"/>
        <w:bottom w:val="none" w:sz="0" w:space="0" w:color="auto"/>
        <w:right w:val="none" w:sz="0" w:space="0" w:color="auto"/>
      </w:divBdr>
      <w:divsChild>
        <w:div w:id="1885092168">
          <w:marLeft w:val="0"/>
          <w:marRight w:val="0"/>
          <w:marTop w:val="0"/>
          <w:marBottom w:val="0"/>
          <w:divBdr>
            <w:top w:val="none" w:sz="0" w:space="0" w:color="auto"/>
            <w:left w:val="none" w:sz="0" w:space="0" w:color="auto"/>
            <w:bottom w:val="none" w:sz="0" w:space="0" w:color="auto"/>
            <w:right w:val="none" w:sz="0" w:space="0" w:color="auto"/>
          </w:divBdr>
        </w:div>
        <w:div w:id="240676397">
          <w:marLeft w:val="0"/>
          <w:marRight w:val="0"/>
          <w:marTop w:val="0"/>
          <w:marBottom w:val="0"/>
          <w:divBdr>
            <w:top w:val="none" w:sz="0" w:space="0" w:color="auto"/>
            <w:left w:val="none" w:sz="0" w:space="0" w:color="auto"/>
            <w:bottom w:val="none" w:sz="0" w:space="0" w:color="auto"/>
            <w:right w:val="none" w:sz="0" w:space="0" w:color="auto"/>
          </w:divBdr>
        </w:div>
        <w:div w:id="1730155904">
          <w:marLeft w:val="0"/>
          <w:marRight w:val="0"/>
          <w:marTop w:val="0"/>
          <w:marBottom w:val="0"/>
          <w:divBdr>
            <w:top w:val="none" w:sz="0" w:space="0" w:color="auto"/>
            <w:left w:val="none" w:sz="0" w:space="0" w:color="auto"/>
            <w:bottom w:val="none" w:sz="0" w:space="0" w:color="auto"/>
            <w:right w:val="none" w:sz="0" w:space="0" w:color="auto"/>
          </w:divBdr>
        </w:div>
        <w:div w:id="1379668686">
          <w:marLeft w:val="0"/>
          <w:marRight w:val="0"/>
          <w:marTop w:val="0"/>
          <w:marBottom w:val="0"/>
          <w:divBdr>
            <w:top w:val="none" w:sz="0" w:space="0" w:color="auto"/>
            <w:left w:val="none" w:sz="0" w:space="0" w:color="auto"/>
            <w:bottom w:val="none" w:sz="0" w:space="0" w:color="auto"/>
            <w:right w:val="none" w:sz="0" w:space="0" w:color="auto"/>
          </w:divBdr>
        </w:div>
        <w:div w:id="1827239311">
          <w:marLeft w:val="0"/>
          <w:marRight w:val="0"/>
          <w:marTop w:val="0"/>
          <w:marBottom w:val="0"/>
          <w:divBdr>
            <w:top w:val="none" w:sz="0" w:space="0" w:color="auto"/>
            <w:left w:val="none" w:sz="0" w:space="0" w:color="auto"/>
            <w:bottom w:val="none" w:sz="0" w:space="0" w:color="auto"/>
            <w:right w:val="none" w:sz="0" w:space="0" w:color="auto"/>
          </w:divBdr>
        </w:div>
        <w:div w:id="141385262">
          <w:marLeft w:val="0"/>
          <w:marRight w:val="0"/>
          <w:marTop w:val="0"/>
          <w:marBottom w:val="0"/>
          <w:divBdr>
            <w:top w:val="none" w:sz="0" w:space="0" w:color="auto"/>
            <w:left w:val="none" w:sz="0" w:space="0" w:color="auto"/>
            <w:bottom w:val="none" w:sz="0" w:space="0" w:color="auto"/>
            <w:right w:val="none" w:sz="0" w:space="0" w:color="auto"/>
          </w:divBdr>
        </w:div>
        <w:div w:id="595141193">
          <w:marLeft w:val="0"/>
          <w:marRight w:val="0"/>
          <w:marTop w:val="0"/>
          <w:marBottom w:val="0"/>
          <w:divBdr>
            <w:top w:val="none" w:sz="0" w:space="0" w:color="auto"/>
            <w:left w:val="none" w:sz="0" w:space="0" w:color="auto"/>
            <w:bottom w:val="none" w:sz="0" w:space="0" w:color="auto"/>
            <w:right w:val="none" w:sz="0" w:space="0" w:color="auto"/>
          </w:divBdr>
        </w:div>
        <w:div w:id="1761363692">
          <w:marLeft w:val="0"/>
          <w:marRight w:val="0"/>
          <w:marTop w:val="0"/>
          <w:marBottom w:val="0"/>
          <w:divBdr>
            <w:top w:val="none" w:sz="0" w:space="0" w:color="auto"/>
            <w:left w:val="none" w:sz="0" w:space="0" w:color="auto"/>
            <w:bottom w:val="none" w:sz="0" w:space="0" w:color="auto"/>
            <w:right w:val="none" w:sz="0" w:space="0" w:color="auto"/>
          </w:divBdr>
        </w:div>
      </w:divsChild>
    </w:div>
    <w:div w:id="1695956399">
      <w:bodyDiv w:val="1"/>
      <w:marLeft w:val="0"/>
      <w:marRight w:val="0"/>
      <w:marTop w:val="0"/>
      <w:marBottom w:val="0"/>
      <w:divBdr>
        <w:top w:val="none" w:sz="0" w:space="0" w:color="auto"/>
        <w:left w:val="none" w:sz="0" w:space="0" w:color="auto"/>
        <w:bottom w:val="none" w:sz="0" w:space="0" w:color="auto"/>
        <w:right w:val="none" w:sz="0" w:space="0" w:color="auto"/>
      </w:divBdr>
    </w:div>
    <w:div w:id="1935897406">
      <w:bodyDiv w:val="1"/>
      <w:marLeft w:val="0"/>
      <w:marRight w:val="0"/>
      <w:marTop w:val="0"/>
      <w:marBottom w:val="0"/>
      <w:divBdr>
        <w:top w:val="none" w:sz="0" w:space="0" w:color="auto"/>
        <w:left w:val="none" w:sz="0" w:space="0" w:color="auto"/>
        <w:bottom w:val="none" w:sz="0" w:space="0" w:color="auto"/>
        <w:right w:val="none" w:sz="0" w:space="0" w:color="auto"/>
      </w:divBdr>
    </w:div>
    <w:div w:id="1953854105">
      <w:bodyDiv w:val="1"/>
      <w:marLeft w:val="0"/>
      <w:marRight w:val="0"/>
      <w:marTop w:val="0"/>
      <w:marBottom w:val="0"/>
      <w:divBdr>
        <w:top w:val="none" w:sz="0" w:space="0" w:color="auto"/>
        <w:left w:val="none" w:sz="0" w:space="0" w:color="auto"/>
        <w:bottom w:val="none" w:sz="0" w:space="0" w:color="auto"/>
        <w:right w:val="none" w:sz="0" w:space="0" w:color="auto"/>
      </w:divBdr>
    </w:div>
    <w:div w:id="2063165597">
      <w:bodyDiv w:val="1"/>
      <w:marLeft w:val="0"/>
      <w:marRight w:val="0"/>
      <w:marTop w:val="0"/>
      <w:marBottom w:val="0"/>
      <w:divBdr>
        <w:top w:val="none" w:sz="0" w:space="0" w:color="auto"/>
        <w:left w:val="none" w:sz="0" w:space="0" w:color="auto"/>
        <w:bottom w:val="none" w:sz="0" w:space="0" w:color="auto"/>
        <w:right w:val="none" w:sz="0" w:space="0" w:color="auto"/>
      </w:divBdr>
      <w:divsChild>
        <w:div w:id="127626028">
          <w:marLeft w:val="360"/>
          <w:marRight w:val="0"/>
          <w:marTop w:val="280"/>
          <w:marBottom w:val="0"/>
          <w:divBdr>
            <w:top w:val="none" w:sz="0" w:space="0" w:color="auto"/>
            <w:left w:val="none" w:sz="0" w:space="0" w:color="auto"/>
            <w:bottom w:val="none" w:sz="0" w:space="0" w:color="auto"/>
            <w:right w:val="none" w:sz="0" w:space="0" w:color="auto"/>
          </w:divBdr>
        </w:div>
        <w:div w:id="405539668">
          <w:marLeft w:val="360"/>
          <w:marRight w:val="0"/>
          <w:marTop w:val="280"/>
          <w:marBottom w:val="0"/>
          <w:divBdr>
            <w:top w:val="none" w:sz="0" w:space="0" w:color="auto"/>
            <w:left w:val="none" w:sz="0" w:space="0" w:color="auto"/>
            <w:bottom w:val="none" w:sz="0" w:space="0" w:color="auto"/>
            <w:right w:val="none" w:sz="0" w:space="0" w:color="auto"/>
          </w:divBdr>
        </w:div>
        <w:div w:id="822549305">
          <w:marLeft w:val="360"/>
          <w:marRight w:val="0"/>
          <w:marTop w:val="280"/>
          <w:marBottom w:val="0"/>
          <w:divBdr>
            <w:top w:val="none" w:sz="0" w:space="0" w:color="auto"/>
            <w:left w:val="none" w:sz="0" w:space="0" w:color="auto"/>
            <w:bottom w:val="none" w:sz="0" w:space="0" w:color="auto"/>
            <w:right w:val="none" w:sz="0" w:space="0" w:color="auto"/>
          </w:divBdr>
        </w:div>
        <w:div w:id="1085882410">
          <w:marLeft w:val="360"/>
          <w:marRight w:val="0"/>
          <w:marTop w:val="280"/>
          <w:marBottom w:val="0"/>
          <w:divBdr>
            <w:top w:val="none" w:sz="0" w:space="0" w:color="auto"/>
            <w:left w:val="none" w:sz="0" w:space="0" w:color="auto"/>
            <w:bottom w:val="none" w:sz="0" w:space="0" w:color="auto"/>
            <w:right w:val="none" w:sz="0" w:space="0" w:color="auto"/>
          </w:divBdr>
        </w:div>
        <w:div w:id="1726685851">
          <w:marLeft w:val="360"/>
          <w:marRight w:val="0"/>
          <w:marTop w:val="280"/>
          <w:marBottom w:val="0"/>
          <w:divBdr>
            <w:top w:val="none" w:sz="0" w:space="0" w:color="auto"/>
            <w:left w:val="none" w:sz="0" w:space="0" w:color="auto"/>
            <w:bottom w:val="none" w:sz="0" w:space="0" w:color="auto"/>
            <w:right w:val="none" w:sz="0" w:space="0" w:color="auto"/>
          </w:divBdr>
        </w:div>
        <w:div w:id="1053114382">
          <w:marLeft w:val="360"/>
          <w:marRight w:val="0"/>
          <w:marTop w:val="280"/>
          <w:marBottom w:val="0"/>
          <w:divBdr>
            <w:top w:val="none" w:sz="0" w:space="0" w:color="auto"/>
            <w:left w:val="none" w:sz="0" w:space="0" w:color="auto"/>
            <w:bottom w:val="none" w:sz="0" w:space="0" w:color="auto"/>
            <w:right w:val="none" w:sz="0" w:space="0" w:color="auto"/>
          </w:divBdr>
        </w:div>
      </w:divsChild>
    </w:div>
    <w:div w:id="213270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awdown.org/solutions/buildings-and-cities/led-lighting-commercial" TargetMode="External"/><Relationship Id="rId18" Type="http://schemas.openxmlformats.org/officeDocument/2006/relationships/hyperlink" Target="https://www.drawdown.org/solutions/buildings-and-cities/smart-thermostats"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www.drawdown.org/solutions/buildings-and-cities/insulation" TargetMode="External"/><Relationship Id="rId17" Type="http://schemas.openxmlformats.org/officeDocument/2006/relationships/hyperlink" Target="https://www.drawdown.org/solutions/buildings-and-cities/smart-glas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rawdown.org/solutions/buildings-and-cities/retrofitting"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awdown.org/solutions/buildings-and-cities/heat-pumps"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rawdown.org/solutions/buildings-and-cities/net-zero-building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chart" Target="charts/chart3.xml"/><Relationship Id="rId10" Type="http://schemas.openxmlformats.org/officeDocument/2006/relationships/hyperlink" Target="https://www.drawdown.org/solutions/buildings-and-cities/green-roofs" TargetMode="External"/><Relationship Id="rId19" Type="http://schemas.openxmlformats.org/officeDocument/2006/relationships/hyperlink" Target="https://www.drawdown.org/solutions/energy/solar-water"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drawdown.org/solutions/buildings-and-cities/building-automation" TargetMode="External"/><Relationship Id="rId14" Type="http://schemas.openxmlformats.org/officeDocument/2006/relationships/hyperlink" Target="https://www.drawdown.org/solutions/buildings-and-cities/led-lighting-household" TargetMode="Externa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lore\Box%20Sync\Flore's%20document\PHD\Proposal\PublishedData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lore\Box%20Sync\Flore's%20document\PHD\Proposal\ENERGYSTARDataSorting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lore\Box%20Sync\Flore's%20document\PHD\Proposal\ENERGYSTARDataSorting2018.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Impacted by various benchmarking</a:t>
            </a:r>
            <a:r>
              <a:rPr lang="en-US" baseline="0"/>
              <a:t> efforts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Sheet3!$B$1</c:f>
              <c:strCache>
                <c:ptCount val="1"/>
                <c:pt idx="0">
                  <c:v>2030 District</c:v>
                </c:pt>
              </c:strCache>
            </c:strRef>
          </c:tx>
          <c:spPr>
            <a:solidFill>
              <a:schemeClr val="accent1"/>
            </a:solidFill>
            <a:ln>
              <a:noFill/>
            </a:ln>
            <a:effectLst/>
          </c:spPr>
          <c:invertIfNegative val="0"/>
          <c:cat>
            <c:strRef>
              <c:f>Sheet3!$A$2:$A$5</c:f>
              <c:strCache>
                <c:ptCount val="4"/>
                <c:pt idx="0">
                  <c:v>Philadelphia</c:v>
                </c:pt>
                <c:pt idx="1">
                  <c:v>Denver</c:v>
                </c:pt>
                <c:pt idx="2">
                  <c:v>Los Angeles</c:v>
                </c:pt>
                <c:pt idx="3">
                  <c:v>Atlanta</c:v>
                </c:pt>
              </c:strCache>
            </c:strRef>
          </c:cat>
          <c:val>
            <c:numRef>
              <c:f>Sheet3!$B$2:$B$5</c:f>
              <c:numCache>
                <c:formatCode>General</c:formatCode>
                <c:ptCount val="4"/>
                <c:pt idx="0">
                  <c:v>19</c:v>
                </c:pt>
                <c:pt idx="1">
                  <c:v>26</c:v>
                </c:pt>
                <c:pt idx="2">
                  <c:v>11</c:v>
                </c:pt>
              </c:numCache>
            </c:numRef>
          </c:val>
          <c:extLst>
            <c:ext xmlns:c16="http://schemas.microsoft.com/office/drawing/2014/chart" uri="{C3380CC4-5D6E-409C-BE32-E72D297353CC}">
              <c16:uniqueId val="{00000000-DCA7-4884-A384-BB891C48919E}"/>
            </c:ext>
          </c:extLst>
        </c:ser>
        <c:ser>
          <c:idx val="1"/>
          <c:order val="1"/>
          <c:tx>
            <c:strRef>
              <c:f>Sheet3!$C$1</c:f>
              <c:strCache>
                <c:ptCount val="1"/>
                <c:pt idx="0">
                  <c:v>volontary (other)</c:v>
                </c:pt>
              </c:strCache>
            </c:strRef>
          </c:tx>
          <c:spPr>
            <a:solidFill>
              <a:srgbClr val="00B050"/>
            </a:solidFill>
            <a:ln>
              <a:noFill/>
            </a:ln>
            <a:effectLst/>
          </c:spPr>
          <c:invertIfNegative val="0"/>
          <c:cat>
            <c:strRef>
              <c:f>Sheet3!$A$2:$A$5</c:f>
              <c:strCache>
                <c:ptCount val="4"/>
                <c:pt idx="0">
                  <c:v>Philadelphia</c:v>
                </c:pt>
                <c:pt idx="1">
                  <c:v>Denver</c:v>
                </c:pt>
                <c:pt idx="2">
                  <c:v>Los Angeles</c:v>
                </c:pt>
                <c:pt idx="3">
                  <c:v>Atlanta</c:v>
                </c:pt>
              </c:strCache>
            </c:strRef>
          </c:cat>
          <c:val>
            <c:numRef>
              <c:f>Sheet3!$C$2:$C$5</c:f>
              <c:numCache>
                <c:formatCode>General</c:formatCode>
                <c:ptCount val="4"/>
                <c:pt idx="1">
                  <c:v>28</c:v>
                </c:pt>
                <c:pt idx="3">
                  <c:v>108</c:v>
                </c:pt>
              </c:numCache>
            </c:numRef>
          </c:val>
          <c:extLst>
            <c:ext xmlns:c16="http://schemas.microsoft.com/office/drawing/2014/chart" uri="{C3380CC4-5D6E-409C-BE32-E72D297353CC}">
              <c16:uniqueId val="{00000001-DCA7-4884-A384-BB891C48919E}"/>
            </c:ext>
          </c:extLst>
        </c:ser>
        <c:ser>
          <c:idx val="2"/>
          <c:order val="2"/>
          <c:tx>
            <c:strRef>
              <c:f>Sheet3!$D$1</c:f>
              <c:strCache>
                <c:ptCount val="1"/>
                <c:pt idx="0">
                  <c:v>Ordinance</c:v>
                </c:pt>
              </c:strCache>
            </c:strRef>
          </c:tx>
          <c:spPr>
            <a:solidFill>
              <a:schemeClr val="accent4"/>
            </a:solidFill>
            <a:ln>
              <a:noFill/>
            </a:ln>
            <a:effectLst/>
          </c:spPr>
          <c:invertIfNegative val="0"/>
          <c:cat>
            <c:strRef>
              <c:f>Sheet3!$A$2:$A$5</c:f>
              <c:strCache>
                <c:ptCount val="4"/>
                <c:pt idx="0">
                  <c:v>Philadelphia</c:v>
                </c:pt>
                <c:pt idx="1">
                  <c:v>Denver</c:v>
                </c:pt>
                <c:pt idx="2">
                  <c:v>Los Angeles</c:v>
                </c:pt>
                <c:pt idx="3">
                  <c:v>Atlanta</c:v>
                </c:pt>
              </c:strCache>
            </c:strRef>
          </c:cat>
          <c:val>
            <c:numRef>
              <c:f>Sheet3!$D$2:$D$5</c:f>
              <c:numCache>
                <c:formatCode>General</c:formatCode>
                <c:ptCount val="4"/>
                <c:pt idx="0">
                  <c:v>250</c:v>
                </c:pt>
                <c:pt idx="1">
                  <c:v>300</c:v>
                </c:pt>
                <c:pt idx="2">
                  <c:v>771.50316789999999</c:v>
                </c:pt>
                <c:pt idx="3">
                  <c:v>408</c:v>
                </c:pt>
              </c:numCache>
            </c:numRef>
          </c:val>
          <c:extLst>
            <c:ext xmlns:c16="http://schemas.microsoft.com/office/drawing/2014/chart" uri="{C3380CC4-5D6E-409C-BE32-E72D297353CC}">
              <c16:uniqueId val="{00000002-DCA7-4884-A384-BB891C48919E}"/>
            </c:ext>
          </c:extLst>
        </c:ser>
        <c:dLbls>
          <c:showLegendKey val="0"/>
          <c:showVal val="0"/>
          <c:showCatName val="0"/>
          <c:showSerName val="0"/>
          <c:showPercent val="0"/>
          <c:showBubbleSize val="0"/>
        </c:dLbls>
        <c:gapWidth val="219"/>
        <c:overlap val="-27"/>
        <c:axId val="675789936"/>
        <c:axId val="675788296"/>
      </c:barChart>
      <c:catAx>
        <c:axId val="67578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788296"/>
        <c:crosses val="autoZero"/>
        <c:auto val="1"/>
        <c:lblAlgn val="ctr"/>
        <c:lblOffset val="100"/>
        <c:noMultiLvlLbl val="0"/>
      </c:catAx>
      <c:valAx>
        <c:axId val="67578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Sqft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789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Energystar</a:t>
            </a:r>
            <a:r>
              <a:rPr lang="en-US" baseline="0"/>
              <a:t> database evolution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1"/>
          <c:tx>
            <c:v>Average score</c:v>
          </c:tx>
          <c:spPr>
            <a:solidFill>
              <a:srgbClr val="00B0F0"/>
            </a:solidFill>
            <a:ln>
              <a:noFill/>
            </a:ln>
            <a:effectLst/>
          </c:spPr>
          <c:invertIfNegative val="0"/>
          <c:cat>
            <c:numRef>
              <c:f>Sheet3!$B$1:$L$1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Sheet3!$B$3:$L$3</c:f>
              <c:numCache>
                <c:formatCode>0.0</c:formatCode>
                <c:ptCount val="11"/>
                <c:pt idx="0">
                  <c:v>84.247674418604646</c:v>
                </c:pt>
                <c:pt idx="1">
                  <c:v>84.766310160427807</c:v>
                </c:pt>
                <c:pt idx="2">
                  <c:v>84.705858907931443</c:v>
                </c:pt>
                <c:pt idx="3">
                  <c:v>85.112825166364189</c:v>
                </c:pt>
                <c:pt idx="4">
                  <c:v>85.150878293601011</c:v>
                </c:pt>
                <c:pt idx="5">
                  <c:v>85.246916565900847</c:v>
                </c:pt>
                <c:pt idx="6">
                  <c:v>85.200306983883351</c:v>
                </c:pt>
                <c:pt idx="7">
                  <c:v>85.034615384615378</c:v>
                </c:pt>
                <c:pt idx="8">
                  <c:v>85.64806459273332</c:v>
                </c:pt>
                <c:pt idx="9">
                  <c:v>86.362432675044886</c:v>
                </c:pt>
                <c:pt idx="10">
                  <c:v>86.695035460992912</c:v>
                </c:pt>
              </c:numCache>
            </c:numRef>
          </c:val>
          <c:extLst>
            <c:ext xmlns:c16="http://schemas.microsoft.com/office/drawing/2014/chart" uri="{C3380CC4-5D6E-409C-BE32-E72D297353CC}">
              <c16:uniqueId val="{00000000-0BF7-4468-86AC-FE3E4274E46A}"/>
            </c:ext>
          </c:extLst>
        </c:ser>
        <c:dLbls>
          <c:showLegendKey val="0"/>
          <c:showVal val="0"/>
          <c:showCatName val="0"/>
          <c:showSerName val="0"/>
          <c:showPercent val="0"/>
          <c:showBubbleSize val="0"/>
        </c:dLbls>
        <c:gapWidth val="219"/>
        <c:axId val="1427181136"/>
        <c:axId val="1427178840"/>
      </c:barChart>
      <c:lineChart>
        <c:grouping val="standard"/>
        <c:varyColors val="0"/>
        <c:ser>
          <c:idx val="1"/>
          <c:order val="0"/>
          <c:tx>
            <c:v># of buildings with score</c:v>
          </c:tx>
          <c:spPr>
            <a:ln w="28575" cap="rnd">
              <a:solidFill>
                <a:schemeClr val="tx2"/>
              </a:solidFill>
              <a:round/>
            </a:ln>
            <a:effectLst/>
          </c:spPr>
          <c:marker>
            <c:symbol val="none"/>
          </c:marker>
          <c:cat>
            <c:numRef>
              <c:f>Sheet3!$B$1:$L$1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Sheet3!$B$2:$L$2</c:f>
              <c:numCache>
                <c:formatCode>General</c:formatCode>
                <c:ptCount val="11"/>
                <c:pt idx="0">
                  <c:v>860</c:v>
                </c:pt>
                <c:pt idx="1">
                  <c:v>1870</c:v>
                </c:pt>
                <c:pt idx="2">
                  <c:v>2509</c:v>
                </c:pt>
                <c:pt idx="3">
                  <c:v>3306</c:v>
                </c:pt>
                <c:pt idx="4">
                  <c:v>3188</c:v>
                </c:pt>
                <c:pt idx="5">
                  <c:v>4135</c:v>
                </c:pt>
                <c:pt idx="6">
                  <c:v>3909</c:v>
                </c:pt>
                <c:pt idx="7">
                  <c:v>3900</c:v>
                </c:pt>
                <c:pt idx="8">
                  <c:v>4211</c:v>
                </c:pt>
                <c:pt idx="9">
                  <c:v>4456</c:v>
                </c:pt>
                <c:pt idx="10">
                  <c:v>5217</c:v>
                </c:pt>
              </c:numCache>
            </c:numRef>
          </c:val>
          <c:smooth val="0"/>
          <c:extLst>
            <c:ext xmlns:c16="http://schemas.microsoft.com/office/drawing/2014/chart" uri="{C3380CC4-5D6E-409C-BE32-E72D297353CC}">
              <c16:uniqueId val="{00000001-0BF7-4468-86AC-FE3E4274E46A}"/>
            </c:ext>
          </c:extLst>
        </c:ser>
        <c:dLbls>
          <c:showLegendKey val="0"/>
          <c:showVal val="0"/>
          <c:showCatName val="0"/>
          <c:showSerName val="0"/>
          <c:showPercent val="0"/>
          <c:showBubbleSize val="0"/>
        </c:dLbls>
        <c:marker val="1"/>
        <c:smooth val="0"/>
        <c:axId val="1281085360"/>
        <c:axId val="1281081096"/>
      </c:lineChart>
      <c:catAx>
        <c:axId val="14271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7178840"/>
        <c:crosses val="autoZero"/>
        <c:auto val="1"/>
        <c:lblAlgn val="ctr"/>
        <c:lblOffset val="100"/>
        <c:noMultiLvlLbl val="0"/>
      </c:catAx>
      <c:valAx>
        <c:axId val="142717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Energystar</a:t>
                </a:r>
                <a:r>
                  <a:rPr lang="en-US" baseline="0"/>
                  <a:t> Score</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7181136"/>
        <c:crosses val="autoZero"/>
        <c:crossBetween val="between"/>
      </c:valAx>
      <c:valAx>
        <c:axId val="12810810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buildings that</a:t>
                </a:r>
                <a:r>
                  <a:rPr lang="en-US" baseline="0"/>
                  <a:t> benchmarked</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085360"/>
        <c:crosses val="max"/>
        <c:crossBetween val="between"/>
      </c:valAx>
      <c:catAx>
        <c:axId val="1281085360"/>
        <c:scaling>
          <c:orientation val="minMax"/>
        </c:scaling>
        <c:delete val="1"/>
        <c:axPos val="b"/>
        <c:numFmt formatCode="General" sourceLinked="1"/>
        <c:majorTickMark val="out"/>
        <c:minorTickMark val="none"/>
        <c:tickLblPos val="nextTo"/>
        <c:crossAx val="128108109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 in New</a:t>
            </a:r>
            <a:r>
              <a:rPr lang="en-US" baseline="0"/>
              <a:t> York City and Houston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1"/>
          <c:tx>
            <c:strRef>
              <c:f>Sheet3!$A$6</c:f>
              <c:strCache>
                <c:ptCount val="1"/>
                <c:pt idx="0">
                  <c:v>Ave scoreNYC</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numRef>
              <c:f>Sheet3!$B$4:$L$4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Sheet3!$B$6:$L$6</c:f>
              <c:numCache>
                <c:formatCode>General</c:formatCode>
                <c:ptCount val="11"/>
                <c:pt idx="0">
                  <c:v>81.333333333333329</c:v>
                </c:pt>
                <c:pt idx="1">
                  <c:v>81.547619047619051</c:v>
                </c:pt>
                <c:pt idx="2">
                  <c:v>80.877551020408163</c:v>
                </c:pt>
                <c:pt idx="3">
                  <c:v>80.471428571428575</c:v>
                </c:pt>
                <c:pt idx="4">
                  <c:v>81.641975308641975</c:v>
                </c:pt>
                <c:pt idx="5">
                  <c:v>82.552845528455279</c:v>
                </c:pt>
                <c:pt idx="6">
                  <c:v>82.847826086956516</c:v>
                </c:pt>
                <c:pt idx="7">
                  <c:v>81.983333333333334</c:v>
                </c:pt>
                <c:pt idx="8">
                  <c:v>82.075949367088612</c:v>
                </c:pt>
                <c:pt idx="9">
                  <c:v>83.015306122448976</c:v>
                </c:pt>
                <c:pt idx="10">
                  <c:v>83.962025316455694</c:v>
                </c:pt>
              </c:numCache>
            </c:numRef>
          </c:val>
          <c:extLst>
            <c:ext xmlns:c16="http://schemas.microsoft.com/office/drawing/2014/chart" uri="{C3380CC4-5D6E-409C-BE32-E72D297353CC}">
              <c16:uniqueId val="{00000000-F714-4198-80E1-F97216710435}"/>
            </c:ext>
          </c:extLst>
        </c:ser>
        <c:ser>
          <c:idx val="5"/>
          <c:order val="3"/>
          <c:tx>
            <c:strRef>
              <c:f>Sheet3!$A$9</c:f>
              <c:strCache>
                <c:ptCount val="1"/>
                <c:pt idx="0">
                  <c:v>Ave Score IAH</c:v>
                </c:pt>
              </c:strCache>
            </c:strRef>
          </c:tx>
          <c:spPr>
            <a:solidFill>
              <a:schemeClr val="accent4">
                <a:lumMod val="20000"/>
                <a:lumOff val="80000"/>
              </a:schemeClr>
            </a:solidFill>
            <a:ln>
              <a:solidFill>
                <a:schemeClr val="accent4">
                  <a:lumMod val="60000"/>
                  <a:lumOff val="40000"/>
                </a:schemeClr>
              </a:solidFill>
            </a:ln>
            <a:effectLst/>
          </c:spPr>
          <c:invertIfNegative val="0"/>
          <c:trendline>
            <c:spPr>
              <a:ln w="19050" cap="rnd">
                <a:solidFill>
                  <a:schemeClr val="accent4">
                    <a:lumMod val="60000"/>
                    <a:lumOff val="40000"/>
                  </a:schemeClr>
                </a:solidFill>
                <a:prstDash val="sysDot"/>
              </a:ln>
              <a:effectLst/>
            </c:spPr>
            <c:trendlineType val="linear"/>
            <c:dispRSqr val="0"/>
            <c:dispEq val="0"/>
          </c:trendline>
          <c:cat>
            <c:numRef>
              <c:f>Sheet3!$B$4:$L$4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Sheet3!$B$9:$L$9</c:f>
              <c:numCache>
                <c:formatCode>General</c:formatCode>
                <c:ptCount val="11"/>
                <c:pt idx="0">
                  <c:v>84.807692307692307</c:v>
                </c:pt>
                <c:pt idx="1">
                  <c:v>84.08163265306122</c:v>
                </c:pt>
                <c:pt idx="2">
                  <c:v>85.411764705882348</c:v>
                </c:pt>
                <c:pt idx="3">
                  <c:v>84.420382165605091</c:v>
                </c:pt>
                <c:pt idx="4">
                  <c:v>84.743902439024396</c:v>
                </c:pt>
                <c:pt idx="5">
                  <c:v>84.601190476190482</c:v>
                </c:pt>
                <c:pt idx="6">
                  <c:v>83.754491017964071</c:v>
                </c:pt>
                <c:pt idx="7">
                  <c:v>83.89411764705882</c:v>
                </c:pt>
                <c:pt idx="8">
                  <c:v>85.115606936416185</c:v>
                </c:pt>
                <c:pt idx="9">
                  <c:v>86.818713450292393</c:v>
                </c:pt>
                <c:pt idx="10">
                  <c:v>87.696774193548393</c:v>
                </c:pt>
              </c:numCache>
            </c:numRef>
          </c:val>
          <c:extLst>
            <c:ext xmlns:c16="http://schemas.microsoft.com/office/drawing/2014/chart" uri="{C3380CC4-5D6E-409C-BE32-E72D297353CC}">
              <c16:uniqueId val="{00000001-F714-4198-80E1-F97216710435}"/>
            </c:ext>
          </c:extLst>
        </c:ser>
        <c:dLbls>
          <c:showLegendKey val="0"/>
          <c:showVal val="0"/>
          <c:showCatName val="0"/>
          <c:showSerName val="0"/>
          <c:showPercent val="0"/>
          <c:showBubbleSize val="0"/>
        </c:dLbls>
        <c:gapWidth val="219"/>
        <c:axId val="500685784"/>
        <c:axId val="500688080"/>
      </c:barChart>
      <c:lineChart>
        <c:grouping val="standard"/>
        <c:varyColors val="0"/>
        <c:ser>
          <c:idx val="1"/>
          <c:order val="0"/>
          <c:tx>
            <c:strRef>
              <c:f>Sheet3!$A$5</c:f>
              <c:strCache>
                <c:ptCount val="1"/>
                <c:pt idx="0">
                  <c:v>#bldgs NYC</c:v>
                </c:pt>
              </c:strCache>
            </c:strRef>
          </c:tx>
          <c:spPr>
            <a:ln w="28575" cap="rnd">
              <a:solidFill>
                <a:srgbClr val="00B050"/>
              </a:solidFill>
              <a:round/>
            </a:ln>
            <a:effectLst/>
          </c:spPr>
          <c:marker>
            <c:symbol val="none"/>
          </c:marker>
          <c:cat>
            <c:numRef>
              <c:f>Sheet3!$B$4:$L$4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Sheet3!$B$5:$L$5</c:f>
              <c:numCache>
                <c:formatCode>General</c:formatCode>
                <c:ptCount val="11"/>
                <c:pt idx="0">
                  <c:v>6</c:v>
                </c:pt>
                <c:pt idx="1">
                  <c:v>42</c:v>
                </c:pt>
                <c:pt idx="2">
                  <c:v>49</c:v>
                </c:pt>
                <c:pt idx="3">
                  <c:v>70</c:v>
                </c:pt>
                <c:pt idx="4">
                  <c:v>81</c:v>
                </c:pt>
                <c:pt idx="5">
                  <c:v>123</c:v>
                </c:pt>
                <c:pt idx="6">
                  <c:v>138</c:v>
                </c:pt>
                <c:pt idx="7">
                  <c:v>120</c:v>
                </c:pt>
                <c:pt idx="8">
                  <c:v>158</c:v>
                </c:pt>
                <c:pt idx="9">
                  <c:v>196</c:v>
                </c:pt>
                <c:pt idx="10">
                  <c:v>237</c:v>
                </c:pt>
              </c:numCache>
            </c:numRef>
          </c:val>
          <c:smooth val="0"/>
          <c:extLst>
            <c:ext xmlns:c16="http://schemas.microsoft.com/office/drawing/2014/chart" uri="{C3380CC4-5D6E-409C-BE32-E72D297353CC}">
              <c16:uniqueId val="{00000002-F714-4198-80E1-F97216710435}"/>
            </c:ext>
          </c:extLst>
        </c:ser>
        <c:ser>
          <c:idx val="4"/>
          <c:order val="2"/>
          <c:tx>
            <c:strRef>
              <c:f>Sheet3!$A$8</c:f>
              <c:strCache>
                <c:ptCount val="1"/>
                <c:pt idx="0">
                  <c:v>#bldgs IAH</c:v>
                </c:pt>
              </c:strCache>
            </c:strRef>
          </c:tx>
          <c:spPr>
            <a:ln w="28575" cap="rnd">
              <a:solidFill>
                <a:schemeClr val="accent4">
                  <a:lumMod val="60000"/>
                  <a:lumOff val="40000"/>
                </a:schemeClr>
              </a:solidFill>
              <a:round/>
            </a:ln>
            <a:effectLst/>
          </c:spPr>
          <c:marker>
            <c:symbol val="none"/>
          </c:marker>
          <c:cat>
            <c:numRef>
              <c:f>Sheet3!$B$4:$L$4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Sheet3!$B$8:$L$8</c:f>
              <c:numCache>
                <c:formatCode>General</c:formatCode>
                <c:ptCount val="11"/>
                <c:pt idx="0">
                  <c:v>78</c:v>
                </c:pt>
                <c:pt idx="1">
                  <c:v>98</c:v>
                </c:pt>
                <c:pt idx="2">
                  <c:v>153</c:v>
                </c:pt>
                <c:pt idx="3">
                  <c:v>157</c:v>
                </c:pt>
                <c:pt idx="4">
                  <c:v>164</c:v>
                </c:pt>
                <c:pt idx="5">
                  <c:v>168</c:v>
                </c:pt>
                <c:pt idx="6">
                  <c:v>167</c:v>
                </c:pt>
                <c:pt idx="7">
                  <c:v>170</c:v>
                </c:pt>
                <c:pt idx="8">
                  <c:v>173</c:v>
                </c:pt>
                <c:pt idx="9">
                  <c:v>171</c:v>
                </c:pt>
                <c:pt idx="10">
                  <c:v>155</c:v>
                </c:pt>
              </c:numCache>
            </c:numRef>
          </c:val>
          <c:smooth val="0"/>
          <c:extLst>
            <c:ext xmlns:c16="http://schemas.microsoft.com/office/drawing/2014/chart" uri="{C3380CC4-5D6E-409C-BE32-E72D297353CC}">
              <c16:uniqueId val="{00000003-F714-4198-80E1-F97216710435}"/>
            </c:ext>
          </c:extLst>
        </c:ser>
        <c:dLbls>
          <c:showLegendKey val="0"/>
          <c:showVal val="0"/>
          <c:showCatName val="0"/>
          <c:showSerName val="0"/>
          <c:showPercent val="0"/>
          <c:showBubbleSize val="0"/>
        </c:dLbls>
        <c:marker val="1"/>
        <c:smooth val="0"/>
        <c:axId val="632448440"/>
        <c:axId val="632447128"/>
      </c:lineChart>
      <c:catAx>
        <c:axId val="50068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688080"/>
        <c:crosses val="autoZero"/>
        <c:auto val="1"/>
        <c:lblAlgn val="ctr"/>
        <c:lblOffset val="100"/>
        <c:noMultiLvlLbl val="0"/>
      </c:catAx>
      <c:valAx>
        <c:axId val="50068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EnergyStar Score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685784"/>
        <c:crosses val="autoZero"/>
        <c:crossBetween val="between"/>
      </c:valAx>
      <c:valAx>
        <c:axId val="6324471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bldgs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48440"/>
        <c:crosses val="max"/>
        <c:crossBetween val="between"/>
      </c:valAx>
      <c:catAx>
        <c:axId val="632448440"/>
        <c:scaling>
          <c:orientation val="minMax"/>
        </c:scaling>
        <c:delete val="1"/>
        <c:axPos val="b"/>
        <c:numFmt formatCode="General" sourceLinked="1"/>
        <c:majorTickMark val="out"/>
        <c:minorTickMark val="none"/>
        <c:tickLblPos val="nextTo"/>
        <c:crossAx val="632447128"/>
        <c:crosses val="autoZero"/>
        <c:auto val="1"/>
        <c:lblAlgn val="ctr"/>
        <c:lblOffset val="100"/>
        <c:noMultiLvlLbl val="0"/>
      </c:catAx>
      <c:spPr>
        <a:noFill/>
        <a:ln>
          <a:noFill/>
        </a:ln>
        <a:effectLst/>
      </c:spPr>
    </c:plotArea>
    <c:legend>
      <c:legendPos val="b"/>
      <c:layout>
        <c:manualLayout>
          <c:xMode val="edge"/>
          <c:yMode val="edge"/>
          <c:x val="0.11713713910761155"/>
          <c:y val="0.82986460242534699"/>
          <c:w val="0.72961439195100608"/>
          <c:h val="0.139792961510500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0.39666</cdr:x>
      <cdr:y>0.68531</cdr:y>
    </cdr:from>
    <cdr:to>
      <cdr:x>0.455</cdr:x>
      <cdr:y>0.73212</cdr:y>
    </cdr:to>
    <cdr:sp macro="" textlink="">
      <cdr:nvSpPr>
        <cdr:cNvPr id="3" name="Rounded Rectangle 2"/>
        <cdr:cNvSpPr/>
      </cdr:nvSpPr>
      <cdr:spPr>
        <a:xfrm xmlns:a="http://schemas.openxmlformats.org/drawingml/2006/main">
          <a:off x="1813545" y="2007880"/>
          <a:ext cx="266730" cy="137148"/>
        </a:xfrm>
        <a:prstGeom xmlns:a="http://schemas.openxmlformats.org/drawingml/2006/main" prst="roundRect">
          <a:avLst/>
        </a:prstGeom>
        <a:solidFill xmlns:a="http://schemas.openxmlformats.org/drawingml/2006/main">
          <a:schemeClr val="accent3">
            <a:alpha val="25000"/>
          </a:schemeClr>
        </a:solidFill>
        <a:ln xmlns:a="http://schemas.openxmlformats.org/drawingml/2006/main">
          <a:solidFill>
            <a:schemeClr val="accent3">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FD6ED-2CFA-48E5-87B4-928287D3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37</Pages>
  <Words>15876</Words>
  <Characters>90497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fmarion</dc:creator>
  <cp:keywords/>
  <dc:description/>
  <cp:lastModifiedBy>fmarion</cp:lastModifiedBy>
  <cp:revision>6</cp:revision>
  <cp:lastPrinted>2018-12-10T15:08:00Z</cp:lastPrinted>
  <dcterms:created xsi:type="dcterms:W3CDTF">2018-12-10T18:39:00Z</dcterms:created>
  <dcterms:modified xsi:type="dcterms:W3CDTF">2018-12-11T05:04:00Z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id="eXy2bDJL"/&gt;&lt;style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